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B35D08" w14:textId="77777777" w:rsidR="002E193D" w:rsidRDefault="00000000">
      <w:pPr>
        <w:jc w:val="center"/>
        <w:rPr>
          <w:rFonts w:ascii="Calibri" w:eastAsia="Calibri" w:hAnsi="Calibri" w:cs="Calibri"/>
          <w:b/>
          <w:color w:val="000000"/>
          <w:sz w:val="20"/>
          <w:szCs w:val="20"/>
        </w:rPr>
      </w:pPr>
      <w:r>
        <w:rPr>
          <w:rFonts w:ascii="Calibri" w:eastAsia="Calibri" w:hAnsi="Calibri" w:cs="Calibri"/>
          <w:b/>
          <w:color w:val="000000"/>
          <w:sz w:val="20"/>
          <w:szCs w:val="20"/>
        </w:rPr>
        <w:t>ANEXO II</w:t>
      </w:r>
    </w:p>
    <w:p w14:paraId="14050421" w14:textId="77777777" w:rsidR="002E193D" w:rsidRDefault="00000000">
      <w:pPr>
        <w:jc w:val="center"/>
        <w:rPr>
          <w:rFonts w:ascii="Calibri" w:eastAsia="Calibri" w:hAnsi="Calibri" w:cs="Calibri"/>
          <w:sz w:val="20"/>
          <w:szCs w:val="20"/>
        </w:rPr>
      </w:pPr>
      <w:r>
        <w:rPr>
          <w:rFonts w:ascii="Calibri" w:eastAsia="Calibri" w:hAnsi="Calibri" w:cs="Calibri"/>
          <w:b/>
          <w:color w:val="000000"/>
          <w:sz w:val="20"/>
          <w:szCs w:val="20"/>
        </w:rPr>
        <w:t>MINUTA DE ATA DE REGISTRO DE PREÇOS</w:t>
      </w:r>
    </w:p>
    <w:p w14:paraId="1F7C2228" w14:textId="77777777" w:rsidR="002E193D" w:rsidRDefault="00000000">
      <w:pPr>
        <w:widowControl w:val="0"/>
        <w:ind w:right="-15"/>
        <w:jc w:val="center"/>
        <w:rPr>
          <w:rFonts w:ascii="Calibri" w:eastAsia="Calibri" w:hAnsi="Calibri" w:cs="Calibri"/>
          <w:sz w:val="20"/>
          <w:szCs w:val="20"/>
        </w:rPr>
      </w:pPr>
      <w:r>
        <w:rPr>
          <w:rFonts w:ascii="Calibri" w:eastAsia="Calibri" w:hAnsi="Calibri" w:cs="Calibri"/>
          <w:sz w:val="20"/>
          <w:szCs w:val="20"/>
        </w:rPr>
        <w:t>UNIVERSIDADE FEDERAL DO RECÔNCAVO DA BAHIA</w:t>
      </w:r>
    </w:p>
    <w:p w14:paraId="78372CE6"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 xml:space="preserve">ATA DE REGISTRO DE PREÇOS </w:t>
      </w:r>
    </w:p>
    <w:p w14:paraId="77C2619F"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N.º .........</w:t>
      </w:r>
    </w:p>
    <w:p w14:paraId="77280A84" w14:textId="21DA1B18" w:rsidR="002E193D" w:rsidRDefault="00000000">
      <w:pPr>
        <w:jc w:val="center"/>
        <w:rPr>
          <w:rFonts w:ascii="Calibri" w:eastAsia="Calibri" w:hAnsi="Calibri" w:cs="Calibri"/>
          <w:color w:val="000000"/>
          <w:sz w:val="20"/>
          <w:szCs w:val="20"/>
        </w:rPr>
      </w:pPr>
      <w:r>
        <w:rPr>
          <w:rFonts w:ascii="Calibri" w:eastAsia="Calibri" w:hAnsi="Calibri" w:cs="Calibri"/>
          <w:color w:val="000000"/>
          <w:sz w:val="20"/>
          <w:szCs w:val="20"/>
        </w:rPr>
        <w:t>(Processo Administrativo n.° 23007.</w:t>
      </w:r>
      <w:r w:rsidR="00DD5EDB">
        <w:rPr>
          <w:rFonts w:ascii="Calibri" w:eastAsia="Calibri" w:hAnsi="Calibri" w:cs="Calibri"/>
          <w:color w:val="000000"/>
          <w:sz w:val="20"/>
          <w:szCs w:val="20"/>
        </w:rPr>
        <w:t>00002407</w:t>
      </w:r>
      <w:r>
        <w:rPr>
          <w:rFonts w:ascii="Calibri" w:eastAsia="Calibri" w:hAnsi="Calibri" w:cs="Calibri"/>
          <w:color w:val="000000"/>
          <w:sz w:val="20"/>
          <w:szCs w:val="20"/>
        </w:rPr>
        <w:t>/202</w:t>
      </w:r>
      <w:r w:rsidR="00DD5EDB">
        <w:rPr>
          <w:rFonts w:ascii="Calibri" w:eastAsia="Calibri" w:hAnsi="Calibri" w:cs="Calibri"/>
          <w:color w:val="000000"/>
          <w:sz w:val="20"/>
          <w:szCs w:val="20"/>
        </w:rPr>
        <w:t>3</w:t>
      </w:r>
      <w:r>
        <w:rPr>
          <w:rFonts w:ascii="Calibri" w:eastAsia="Calibri" w:hAnsi="Calibri" w:cs="Calibri"/>
          <w:color w:val="000000"/>
          <w:sz w:val="20"/>
          <w:szCs w:val="20"/>
        </w:rPr>
        <w:t>-</w:t>
      </w:r>
      <w:r w:rsidR="00DD5EDB">
        <w:rPr>
          <w:rFonts w:ascii="Calibri" w:eastAsia="Calibri" w:hAnsi="Calibri" w:cs="Calibri"/>
          <w:color w:val="000000"/>
          <w:sz w:val="20"/>
          <w:szCs w:val="20"/>
        </w:rPr>
        <w:t>60</w:t>
      </w:r>
      <w:r>
        <w:rPr>
          <w:rFonts w:ascii="Calibri" w:eastAsia="Calibri" w:hAnsi="Calibri" w:cs="Calibri"/>
          <w:color w:val="000000"/>
          <w:sz w:val="20"/>
          <w:szCs w:val="20"/>
        </w:rPr>
        <w:t xml:space="preserve">) </w:t>
      </w:r>
    </w:p>
    <w:p w14:paraId="56287099" w14:textId="77777777" w:rsidR="002E193D" w:rsidRDefault="002E193D">
      <w:pPr>
        <w:jc w:val="center"/>
        <w:rPr>
          <w:rFonts w:ascii="Calibri" w:eastAsia="Calibri" w:hAnsi="Calibri" w:cs="Calibri"/>
          <w:b/>
          <w:color w:val="000000"/>
          <w:sz w:val="20"/>
          <w:szCs w:val="20"/>
        </w:rPr>
      </w:pPr>
    </w:p>
    <w:p w14:paraId="68748727" w14:textId="77777777" w:rsidR="002E193D" w:rsidRDefault="002E193D">
      <w:pPr>
        <w:widowControl w:val="0"/>
        <w:tabs>
          <w:tab w:val="center" w:pos="4779"/>
          <w:tab w:val="right" w:pos="9198"/>
        </w:tabs>
        <w:ind w:right="-28"/>
        <w:jc w:val="both"/>
        <w:rPr>
          <w:rFonts w:ascii="Calibri" w:eastAsia="Calibri" w:hAnsi="Calibri" w:cs="Calibri"/>
          <w:sz w:val="20"/>
          <w:szCs w:val="20"/>
        </w:rPr>
      </w:pPr>
    </w:p>
    <w:p w14:paraId="5971E0BF" w14:textId="77777777" w:rsidR="002E193D" w:rsidRDefault="00000000">
      <w:pPr>
        <w:widowControl w:val="0"/>
        <w:tabs>
          <w:tab w:val="center" w:pos="4779"/>
          <w:tab w:val="right" w:pos="9198"/>
        </w:tabs>
        <w:ind w:right="-28"/>
        <w:jc w:val="both"/>
        <w:rPr>
          <w:rFonts w:ascii="Calibri" w:eastAsia="Calibri" w:hAnsi="Calibri" w:cs="Calibri"/>
          <w:sz w:val="20"/>
          <w:szCs w:val="20"/>
        </w:rPr>
      </w:pPr>
      <w:bookmarkStart w:id="0" w:name="_heading=h.gjdgxs" w:colFirst="0" w:colLast="0"/>
      <w:bookmarkEnd w:id="0"/>
      <w:r>
        <w:rPr>
          <w:rFonts w:ascii="Calibri" w:eastAsia="Calibri" w:hAnsi="Calibri" w:cs="Calibri"/>
          <w:sz w:val="20"/>
          <w:szCs w:val="20"/>
        </w:rPr>
        <w:t xml:space="preserve">A UNIVERSIDADE FEDERAL DO RECÔNCAVO DA BAHIA, com sede na Rua Rui Barbosa, 710, Bloco I, Campus Universitário, Bairro Centro, Cruz das Almas – BA, na cidade de Cruz das Almas - BA, inscrito(a) no CNPJ/MF sob o nº 07.777.800/0001-62, neste ato representado(a) pelo(a) magnífico Reitor FÁBIO JOSUÉ SOUZA DOS SANTOS, nomeado(a) pela  Portaria nº ...... de ..... de ...... de 20..., publicada no ....... de ..... de ....... de ....., inscrito(a) no CPF sob o nº .............portador(a) da Carteira de Identidade nº ......., considerando o julgamento da licitação na modalidade de pregão, na forma eletrônica, para REGISTRO DE PREÇOS nº ......./20..., publicada no ...... de ...../...../20....., processo administrativo n.º ........, RESOLVE registrar os preços da(s)  empresa(s) indicada(s) e qualificada(s) nesta ATA, de acordo com a classificação por ela(s) alcançada(s) e na(s)  quantidade(s)  cotada(s), atendendo as condições previstas no edital, sujeitando-se as partes às normas constantes na Lei nº 14.133, de 01 de abril de 2021 e suas alterações, no Decreto n.º 11.462, de 31 de março de 2023, e em conformidade com as disposições a seguir: </w:t>
      </w:r>
    </w:p>
    <w:p w14:paraId="00C7E9B7" w14:textId="77777777" w:rsidR="002E193D" w:rsidRDefault="002E193D">
      <w:pPr>
        <w:widowControl w:val="0"/>
        <w:tabs>
          <w:tab w:val="center" w:pos="4779"/>
          <w:tab w:val="right" w:pos="9198"/>
        </w:tabs>
        <w:ind w:right="-28"/>
        <w:jc w:val="both"/>
        <w:rPr>
          <w:rFonts w:ascii="Calibri" w:eastAsia="Calibri" w:hAnsi="Calibri" w:cs="Calibri"/>
          <w:sz w:val="20"/>
          <w:szCs w:val="20"/>
        </w:rPr>
      </w:pPr>
    </w:p>
    <w:p w14:paraId="105DBB4B" w14:textId="77777777" w:rsidR="002E193D" w:rsidRDefault="00000000">
      <w:pPr>
        <w:numPr>
          <w:ilvl w:val="0"/>
          <w:numId w:val="1"/>
        </w:numPr>
        <w:spacing w:before="120" w:after="120" w:line="276" w:lineRule="auto"/>
        <w:ind w:left="0" w:firstLine="0"/>
        <w:jc w:val="both"/>
        <w:rPr>
          <w:rFonts w:ascii="Calibri" w:eastAsia="Calibri" w:hAnsi="Calibri" w:cs="Calibri"/>
          <w:b/>
          <w:sz w:val="20"/>
          <w:szCs w:val="20"/>
        </w:rPr>
      </w:pPr>
      <w:r>
        <w:rPr>
          <w:rFonts w:ascii="Calibri" w:eastAsia="Calibri" w:hAnsi="Calibri" w:cs="Calibri"/>
          <w:b/>
          <w:sz w:val="20"/>
          <w:szCs w:val="20"/>
        </w:rPr>
        <w:t>DO OBJETO</w:t>
      </w:r>
    </w:p>
    <w:p w14:paraId="76E6ED5B"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 xml:space="preserve">A presente Ata tem por objeto o registro de preços para a eventual aquisição de ........ , especificado(s) no(s) item(ns).......... do .......... Termo de Referência, anexo ...... do edital de </w:t>
      </w:r>
      <w:r>
        <w:rPr>
          <w:rFonts w:ascii="Calibri" w:eastAsia="Calibri" w:hAnsi="Calibri" w:cs="Calibri"/>
          <w:i/>
          <w:sz w:val="20"/>
          <w:szCs w:val="20"/>
        </w:rPr>
        <w:t>Pregão</w:t>
      </w:r>
      <w:r>
        <w:rPr>
          <w:rFonts w:ascii="Calibri" w:eastAsia="Calibri" w:hAnsi="Calibri" w:cs="Calibri"/>
          <w:sz w:val="20"/>
          <w:szCs w:val="20"/>
        </w:rPr>
        <w:t xml:space="preserve"> nº ........../20..., que é parte integrante desta Ata, assim como a proposta vencedora, independentemente de transcrição.</w:t>
      </w:r>
    </w:p>
    <w:p w14:paraId="142CC1D9" w14:textId="77777777" w:rsidR="002E193D" w:rsidRDefault="00000000">
      <w:pPr>
        <w:numPr>
          <w:ilvl w:val="0"/>
          <w:numId w:val="1"/>
        </w:numPr>
        <w:spacing w:before="120" w:after="120" w:line="276" w:lineRule="auto"/>
        <w:ind w:left="0" w:firstLine="0"/>
        <w:jc w:val="both"/>
        <w:rPr>
          <w:rFonts w:ascii="Calibri" w:eastAsia="Calibri" w:hAnsi="Calibri" w:cs="Calibri"/>
          <w:b/>
          <w:sz w:val="20"/>
          <w:szCs w:val="20"/>
        </w:rPr>
      </w:pPr>
      <w:r>
        <w:rPr>
          <w:rFonts w:ascii="Calibri" w:eastAsia="Calibri" w:hAnsi="Calibri" w:cs="Calibri"/>
          <w:b/>
          <w:sz w:val="20"/>
          <w:szCs w:val="20"/>
        </w:rPr>
        <w:t>DOS PREÇOS, ESPECIFICAÇÕES E QUANTITATIVOS</w:t>
      </w:r>
    </w:p>
    <w:p w14:paraId="14154E6B"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 xml:space="preserve">O preço registrado, as especificações do objeto, a quantidade, fornecedor(es) e as demais condições ofertadas na(s) proposta(s) são as que seguem: </w:t>
      </w:r>
    </w:p>
    <w:tbl>
      <w:tblPr>
        <w:tblStyle w:val="a"/>
        <w:tblW w:w="8551" w:type="dxa"/>
        <w:tblInd w:w="10" w:type="dxa"/>
        <w:tblLayout w:type="fixed"/>
        <w:tblLook w:val="0000" w:firstRow="0" w:lastRow="0" w:firstColumn="0" w:lastColumn="0" w:noHBand="0" w:noVBand="0"/>
      </w:tblPr>
      <w:tblGrid>
        <w:gridCol w:w="497"/>
        <w:gridCol w:w="1184"/>
        <w:gridCol w:w="1402"/>
        <w:gridCol w:w="1541"/>
        <w:gridCol w:w="1121"/>
        <w:gridCol w:w="1121"/>
        <w:gridCol w:w="841"/>
        <w:gridCol w:w="844"/>
      </w:tblGrid>
      <w:tr w:rsidR="002E193D" w14:paraId="01CE7EE8" w14:textId="77777777">
        <w:trPr>
          <w:trHeight w:val="511"/>
        </w:trPr>
        <w:tc>
          <w:tcPr>
            <w:tcW w:w="497" w:type="dxa"/>
            <w:tcBorders>
              <w:top w:val="single" w:sz="4" w:space="0" w:color="000000"/>
              <w:left w:val="single" w:sz="4" w:space="0" w:color="000000"/>
              <w:bottom w:val="single" w:sz="4" w:space="0" w:color="000000"/>
              <w:right w:val="single" w:sz="4" w:space="0" w:color="000000"/>
            </w:tcBorders>
            <w:vAlign w:val="center"/>
          </w:tcPr>
          <w:p w14:paraId="106E1546"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Item</w:t>
            </w:r>
          </w:p>
          <w:p w14:paraId="6A32CCF5"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do</w:t>
            </w:r>
          </w:p>
          <w:p w14:paraId="39EDCB7D"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TR</w:t>
            </w:r>
          </w:p>
        </w:tc>
        <w:tc>
          <w:tcPr>
            <w:tcW w:w="8054" w:type="dxa"/>
            <w:gridSpan w:val="7"/>
            <w:tcBorders>
              <w:top w:val="single" w:sz="4" w:space="0" w:color="000000"/>
              <w:left w:val="single" w:sz="4" w:space="0" w:color="000000"/>
              <w:bottom w:val="single" w:sz="4" w:space="0" w:color="000000"/>
              <w:right w:val="single" w:sz="4" w:space="0" w:color="000000"/>
            </w:tcBorders>
            <w:vAlign w:val="center"/>
          </w:tcPr>
          <w:p w14:paraId="72A4573E" w14:textId="77777777" w:rsidR="002E193D" w:rsidRDefault="00000000">
            <w:pPr>
              <w:widowControl w:val="0"/>
              <w:ind w:right="-30"/>
              <w:jc w:val="center"/>
              <w:rPr>
                <w:rFonts w:ascii="Calibri" w:eastAsia="Calibri" w:hAnsi="Calibri" w:cs="Calibri"/>
                <w:i/>
                <w:sz w:val="20"/>
                <w:szCs w:val="20"/>
              </w:rPr>
            </w:pPr>
            <w:r>
              <w:rPr>
                <w:rFonts w:ascii="Calibri" w:eastAsia="Calibri" w:hAnsi="Calibri" w:cs="Calibri"/>
                <w:sz w:val="20"/>
                <w:szCs w:val="20"/>
              </w:rPr>
              <w:t xml:space="preserve">Fornecedor </w:t>
            </w:r>
            <w:r>
              <w:rPr>
                <w:rFonts w:ascii="Calibri" w:eastAsia="Calibri" w:hAnsi="Calibri" w:cs="Calibri"/>
                <w:i/>
                <w:sz w:val="20"/>
                <w:szCs w:val="20"/>
              </w:rPr>
              <w:t>(razão social, CNPJ/MF, endereço, contatos, representante)</w:t>
            </w:r>
          </w:p>
          <w:p w14:paraId="25B3E7C0" w14:textId="77777777" w:rsidR="002E193D" w:rsidRDefault="002E193D">
            <w:pPr>
              <w:widowControl w:val="0"/>
              <w:ind w:right="-30"/>
              <w:jc w:val="center"/>
              <w:rPr>
                <w:rFonts w:ascii="Calibri" w:eastAsia="Calibri" w:hAnsi="Calibri" w:cs="Calibri"/>
                <w:sz w:val="20"/>
                <w:szCs w:val="20"/>
              </w:rPr>
            </w:pPr>
          </w:p>
        </w:tc>
      </w:tr>
      <w:tr w:rsidR="002E193D" w14:paraId="0C025391" w14:textId="77777777">
        <w:trPr>
          <w:trHeight w:val="674"/>
        </w:trPr>
        <w:tc>
          <w:tcPr>
            <w:tcW w:w="497" w:type="dxa"/>
            <w:tcBorders>
              <w:top w:val="nil"/>
              <w:left w:val="single" w:sz="4" w:space="0" w:color="000000"/>
              <w:bottom w:val="single" w:sz="4" w:space="0" w:color="000000"/>
              <w:right w:val="nil"/>
            </w:tcBorders>
            <w:vAlign w:val="center"/>
          </w:tcPr>
          <w:p w14:paraId="69E728B3"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X</w:t>
            </w:r>
          </w:p>
        </w:tc>
        <w:tc>
          <w:tcPr>
            <w:tcW w:w="1184" w:type="dxa"/>
            <w:tcBorders>
              <w:top w:val="nil"/>
              <w:left w:val="single" w:sz="4" w:space="0" w:color="000000"/>
              <w:bottom w:val="single" w:sz="4" w:space="0" w:color="000000"/>
              <w:right w:val="nil"/>
            </w:tcBorders>
          </w:tcPr>
          <w:p w14:paraId="6411517D" w14:textId="77777777" w:rsidR="002E193D" w:rsidRDefault="00000000">
            <w:pPr>
              <w:widowControl w:val="0"/>
              <w:ind w:right="-30"/>
              <w:jc w:val="both"/>
              <w:rPr>
                <w:rFonts w:ascii="Calibri" w:eastAsia="Calibri" w:hAnsi="Calibri" w:cs="Calibri"/>
                <w:sz w:val="20"/>
                <w:szCs w:val="20"/>
              </w:rPr>
            </w:pPr>
            <w:r>
              <w:rPr>
                <w:rFonts w:ascii="Calibri" w:eastAsia="Calibri" w:hAnsi="Calibri" w:cs="Calibri"/>
                <w:sz w:val="20"/>
                <w:szCs w:val="20"/>
              </w:rPr>
              <w:t>Especificação</w:t>
            </w:r>
          </w:p>
        </w:tc>
        <w:tc>
          <w:tcPr>
            <w:tcW w:w="1402" w:type="dxa"/>
            <w:tcBorders>
              <w:top w:val="nil"/>
              <w:left w:val="single" w:sz="4" w:space="0" w:color="000000"/>
              <w:bottom w:val="single" w:sz="4" w:space="0" w:color="000000"/>
              <w:right w:val="nil"/>
            </w:tcBorders>
          </w:tcPr>
          <w:p w14:paraId="07701FED" w14:textId="77777777" w:rsidR="002E193D"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 xml:space="preserve">Marca </w:t>
            </w:r>
          </w:p>
          <w:p w14:paraId="73856FB5" w14:textId="77777777" w:rsidR="002E193D"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(se exigida no edital)</w:t>
            </w:r>
          </w:p>
        </w:tc>
        <w:tc>
          <w:tcPr>
            <w:tcW w:w="1541" w:type="dxa"/>
            <w:tcBorders>
              <w:top w:val="nil"/>
              <w:left w:val="single" w:sz="4" w:space="0" w:color="000000"/>
              <w:bottom w:val="single" w:sz="4" w:space="0" w:color="000000"/>
              <w:right w:val="nil"/>
            </w:tcBorders>
          </w:tcPr>
          <w:p w14:paraId="611B5DD3" w14:textId="77777777" w:rsidR="002E193D"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Modelo</w:t>
            </w:r>
          </w:p>
          <w:p w14:paraId="71EB5738" w14:textId="77777777" w:rsidR="002E193D" w:rsidRDefault="00000000">
            <w:pPr>
              <w:widowControl w:val="0"/>
              <w:ind w:right="-30"/>
              <w:jc w:val="center"/>
              <w:rPr>
                <w:rFonts w:ascii="Calibri" w:eastAsia="Calibri" w:hAnsi="Calibri" w:cs="Calibri"/>
                <w:i/>
                <w:sz w:val="20"/>
                <w:szCs w:val="20"/>
              </w:rPr>
            </w:pPr>
            <w:r>
              <w:rPr>
                <w:rFonts w:ascii="Calibri" w:eastAsia="Calibri" w:hAnsi="Calibri" w:cs="Calibri"/>
                <w:i/>
                <w:sz w:val="20"/>
                <w:szCs w:val="20"/>
              </w:rPr>
              <w:t>(se exigido no edital)</w:t>
            </w:r>
          </w:p>
        </w:tc>
        <w:tc>
          <w:tcPr>
            <w:tcW w:w="1121" w:type="dxa"/>
            <w:tcBorders>
              <w:top w:val="nil"/>
              <w:left w:val="single" w:sz="4" w:space="0" w:color="000000"/>
              <w:bottom w:val="single" w:sz="4" w:space="0" w:color="000000"/>
              <w:right w:val="nil"/>
            </w:tcBorders>
          </w:tcPr>
          <w:p w14:paraId="6C7DEAF0"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Unidade</w:t>
            </w:r>
          </w:p>
        </w:tc>
        <w:tc>
          <w:tcPr>
            <w:tcW w:w="1121" w:type="dxa"/>
            <w:tcBorders>
              <w:top w:val="nil"/>
              <w:left w:val="single" w:sz="4" w:space="0" w:color="000000"/>
              <w:bottom w:val="single" w:sz="4" w:space="0" w:color="000000"/>
              <w:right w:val="nil"/>
            </w:tcBorders>
          </w:tcPr>
          <w:p w14:paraId="35AAF319"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Quantidade</w:t>
            </w:r>
          </w:p>
        </w:tc>
        <w:tc>
          <w:tcPr>
            <w:tcW w:w="841" w:type="dxa"/>
            <w:tcBorders>
              <w:top w:val="nil"/>
              <w:left w:val="single" w:sz="4" w:space="0" w:color="000000"/>
              <w:bottom w:val="single" w:sz="4" w:space="0" w:color="000000"/>
              <w:right w:val="nil"/>
            </w:tcBorders>
          </w:tcPr>
          <w:p w14:paraId="7A3CCDEF"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Valor Un</w:t>
            </w:r>
          </w:p>
        </w:tc>
        <w:tc>
          <w:tcPr>
            <w:tcW w:w="844" w:type="dxa"/>
            <w:tcBorders>
              <w:top w:val="nil"/>
              <w:left w:val="single" w:sz="4" w:space="0" w:color="000000"/>
              <w:bottom w:val="single" w:sz="4" w:space="0" w:color="000000"/>
              <w:right w:val="single" w:sz="4" w:space="0" w:color="000000"/>
            </w:tcBorders>
          </w:tcPr>
          <w:p w14:paraId="09B55173"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i/>
                <w:sz w:val="20"/>
                <w:szCs w:val="20"/>
              </w:rPr>
              <w:t>Prazo garantia ou validade</w:t>
            </w:r>
          </w:p>
        </w:tc>
      </w:tr>
      <w:tr w:rsidR="002E193D" w14:paraId="0D3EF876" w14:textId="77777777">
        <w:trPr>
          <w:trHeight w:val="174"/>
        </w:trPr>
        <w:tc>
          <w:tcPr>
            <w:tcW w:w="497" w:type="dxa"/>
            <w:tcBorders>
              <w:top w:val="nil"/>
              <w:left w:val="single" w:sz="4" w:space="0" w:color="000000"/>
              <w:bottom w:val="single" w:sz="4" w:space="0" w:color="000000"/>
              <w:right w:val="nil"/>
            </w:tcBorders>
          </w:tcPr>
          <w:p w14:paraId="504C8A49" w14:textId="77777777" w:rsidR="002E193D" w:rsidRDefault="002E193D">
            <w:pPr>
              <w:widowControl w:val="0"/>
              <w:ind w:right="-30"/>
              <w:jc w:val="both"/>
              <w:rPr>
                <w:rFonts w:ascii="Calibri" w:eastAsia="Calibri" w:hAnsi="Calibri" w:cs="Calibri"/>
                <w:sz w:val="20"/>
                <w:szCs w:val="20"/>
              </w:rPr>
            </w:pPr>
          </w:p>
        </w:tc>
        <w:tc>
          <w:tcPr>
            <w:tcW w:w="1184" w:type="dxa"/>
            <w:tcBorders>
              <w:top w:val="nil"/>
              <w:left w:val="single" w:sz="4" w:space="0" w:color="000000"/>
              <w:bottom w:val="single" w:sz="4" w:space="0" w:color="000000"/>
              <w:right w:val="nil"/>
            </w:tcBorders>
          </w:tcPr>
          <w:p w14:paraId="2361FD98" w14:textId="77777777" w:rsidR="002E193D" w:rsidRDefault="002E193D">
            <w:pPr>
              <w:widowControl w:val="0"/>
              <w:ind w:right="-30"/>
              <w:jc w:val="both"/>
              <w:rPr>
                <w:rFonts w:ascii="Calibri" w:eastAsia="Calibri" w:hAnsi="Calibri" w:cs="Calibri"/>
                <w:sz w:val="20"/>
                <w:szCs w:val="20"/>
              </w:rPr>
            </w:pPr>
          </w:p>
        </w:tc>
        <w:tc>
          <w:tcPr>
            <w:tcW w:w="1402" w:type="dxa"/>
            <w:tcBorders>
              <w:top w:val="nil"/>
              <w:left w:val="single" w:sz="4" w:space="0" w:color="000000"/>
              <w:bottom w:val="single" w:sz="4" w:space="0" w:color="000000"/>
              <w:right w:val="nil"/>
            </w:tcBorders>
          </w:tcPr>
          <w:p w14:paraId="014A795A" w14:textId="77777777" w:rsidR="002E193D" w:rsidRDefault="002E193D">
            <w:pPr>
              <w:widowControl w:val="0"/>
              <w:ind w:right="-30"/>
              <w:jc w:val="both"/>
              <w:rPr>
                <w:rFonts w:ascii="Calibri" w:eastAsia="Calibri" w:hAnsi="Calibri" w:cs="Calibri"/>
                <w:sz w:val="20"/>
                <w:szCs w:val="20"/>
              </w:rPr>
            </w:pPr>
          </w:p>
        </w:tc>
        <w:tc>
          <w:tcPr>
            <w:tcW w:w="1541" w:type="dxa"/>
            <w:tcBorders>
              <w:top w:val="nil"/>
              <w:left w:val="single" w:sz="4" w:space="0" w:color="000000"/>
              <w:bottom w:val="single" w:sz="4" w:space="0" w:color="000000"/>
              <w:right w:val="nil"/>
            </w:tcBorders>
          </w:tcPr>
          <w:p w14:paraId="211E2FF7" w14:textId="77777777" w:rsidR="002E193D" w:rsidRDefault="002E193D">
            <w:pPr>
              <w:widowControl w:val="0"/>
              <w:ind w:right="-30"/>
              <w:jc w:val="both"/>
              <w:rPr>
                <w:rFonts w:ascii="Calibri" w:eastAsia="Calibri" w:hAnsi="Calibri" w:cs="Calibri"/>
                <w:sz w:val="20"/>
                <w:szCs w:val="20"/>
              </w:rPr>
            </w:pPr>
          </w:p>
        </w:tc>
        <w:tc>
          <w:tcPr>
            <w:tcW w:w="1121" w:type="dxa"/>
            <w:tcBorders>
              <w:top w:val="nil"/>
              <w:left w:val="single" w:sz="4" w:space="0" w:color="000000"/>
              <w:bottom w:val="single" w:sz="4" w:space="0" w:color="000000"/>
              <w:right w:val="nil"/>
            </w:tcBorders>
          </w:tcPr>
          <w:p w14:paraId="1E22C809" w14:textId="77777777" w:rsidR="002E193D" w:rsidRDefault="002E193D">
            <w:pPr>
              <w:widowControl w:val="0"/>
              <w:ind w:right="-30"/>
              <w:jc w:val="both"/>
              <w:rPr>
                <w:rFonts w:ascii="Calibri" w:eastAsia="Calibri" w:hAnsi="Calibri" w:cs="Calibri"/>
                <w:sz w:val="20"/>
                <w:szCs w:val="20"/>
              </w:rPr>
            </w:pPr>
          </w:p>
        </w:tc>
        <w:tc>
          <w:tcPr>
            <w:tcW w:w="1121" w:type="dxa"/>
            <w:tcBorders>
              <w:top w:val="nil"/>
              <w:left w:val="single" w:sz="4" w:space="0" w:color="000000"/>
              <w:bottom w:val="single" w:sz="4" w:space="0" w:color="000000"/>
              <w:right w:val="nil"/>
            </w:tcBorders>
          </w:tcPr>
          <w:p w14:paraId="3760D42E" w14:textId="77777777" w:rsidR="002E193D" w:rsidRDefault="002E193D">
            <w:pPr>
              <w:widowControl w:val="0"/>
              <w:ind w:right="-30"/>
              <w:jc w:val="both"/>
              <w:rPr>
                <w:rFonts w:ascii="Calibri" w:eastAsia="Calibri" w:hAnsi="Calibri" w:cs="Calibri"/>
                <w:sz w:val="20"/>
                <w:szCs w:val="20"/>
              </w:rPr>
            </w:pPr>
          </w:p>
        </w:tc>
        <w:tc>
          <w:tcPr>
            <w:tcW w:w="841" w:type="dxa"/>
            <w:tcBorders>
              <w:top w:val="nil"/>
              <w:left w:val="single" w:sz="4" w:space="0" w:color="000000"/>
              <w:bottom w:val="single" w:sz="4" w:space="0" w:color="000000"/>
              <w:right w:val="nil"/>
            </w:tcBorders>
          </w:tcPr>
          <w:p w14:paraId="18B8AECF" w14:textId="77777777" w:rsidR="002E193D" w:rsidRDefault="002E193D">
            <w:pPr>
              <w:widowControl w:val="0"/>
              <w:ind w:right="-30"/>
              <w:jc w:val="both"/>
              <w:rPr>
                <w:rFonts w:ascii="Calibri" w:eastAsia="Calibri" w:hAnsi="Calibri" w:cs="Calibri"/>
                <w:sz w:val="20"/>
                <w:szCs w:val="20"/>
              </w:rPr>
            </w:pPr>
          </w:p>
        </w:tc>
        <w:tc>
          <w:tcPr>
            <w:tcW w:w="844" w:type="dxa"/>
            <w:tcBorders>
              <w:top w:val="nil"/>
              <w:left w:val="single" w:sz="4" w:space="0" w:color="000000"/>
              <w:bottom w:val="single" w:sz="4" w:space="0" w:color="000000"/>
              <w:right w:val="single" w:sz="4" w:space="0" w:color="000000"/>
            </w:tcBorders>
          </w:tcPr>
          <w:p w14:paraId="0016FEF0" w14:textId="77777777" w:rsidR="002E193D" w:rsidRDefault="002E193D">
            <w:pPr>
              <w:widowControl w:val="0"/>
              <w:ind w:right="-30"/>
              <w:jc w:val="both"/>
              <w:rPr>
                <w:rFonts w:ascii="Calibri" w:eastAsia="Calibri" w:hAnsi="Calibri" w:cs="Calibri"/>
                <w:sz w:val="20"/>
                <w:szCs w:val="20"/>
              </w:rPr>
            </w:pPr>
          </w:p>
        </w:tc>
      </w:tr>
    </w:tbl>
    <w:p w14:paraId="43CE6DFB" w14:textId="77777777" w:rsidR="002E193D" w:rsidRDefault="00000000">
      <w:pPr>
        <w:widowControl w:val="0"/>
        <w:numPr>
          <w:ilvl w:val="0"/>
          <w:numId w:val="1"/>
        </w:numPr>
        <w:spacing w:before="240"/>
        <w:jc w:val="both"/>
        <w:rPr>
          <w:rFonts w:ascii="Calibri" w:eastAsia="Calibri" w:hAnsi="Calibri" w:cs="Calibri"/>
          <w:b/>
          <w:i/>
          <w:sz w:val="20"/>
          <w:szCs w:val="20"/>
        </w:rPr>
      </w:pPr>
      <w:r>
        <w:rPr>
          <w:rFonts w:ascii="Calibri" w:eastAsia="Calibri" w:hAnsi="Calibri" w:cs="Calibri"/>
          <w:b/>
          <w:i/>
          <w:sz w:val="20"/>
          <w:szCs w:val="20"/>
        </w:rPr>
        <w:t>ÓRGÃO(S) GERENCIADOR E  PARTICIPANTE(S)</w:t>
      </w:r>
    </w:p>
    <w:p w14:paraId="615E16A2" w14:textId="77777777" w:rsidR="002E193D" w:rsidRDefault="00000000">
      <w:pPr>
        <w:numPr>
          <w:ilvl w:val="1"/>
          <w:numId w:val="1"/>
        </w:numPr>
        <w:spacing w:before="120" w:after="120" w:line="276" w:lineRule="auto"/>
        <w:ind w:left="792" w:hanging="432"/>
        <w:jc w:val="both"/>
        <w:rPr>
          <w:rFonts w:ascii="Calibri" w:eastAsia="Calibri" w:hAnsi="Calibri" w:cs="Calibri"/>
          <w:sz w:val="20"/>
          <w:szCs w:val="20"/>
        </w:rPr>
      </w:pPr>
      <w:r>
        <w:rPr>
          <w:rFonts w:ascii="Calibri" w:eastAsia="Calibri" w:hAnsi="Calibri" w:cs="Calibri"/>
          <w:i/>
          <w:sz w:val="20"/>
          <w:szCs w:val="20"/>
        </w:rPr>
        <w:t>O órgão gerenciador será o ......(nome do órgão)....</w:t>
      </w:r>
    </w:p>
    <w:p w14:paraId="7197346B"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i/>
          <w:sz w:val="20"/>
          <w:szCs w:val="20"/>
        </w:rPr>
        <w:t>São órgãos e entidades públicas participantes do registro de preços:</w:t>
      </w:r>
    </w:p>
    <w:p w14:paraId="50C2D878" w14:textId="77777777" w:rsidR="002E193D" w:rsidRDefault="00000000">
      <w:pPr>
        <w:numPr>
          <w:ilvl w:val="1"/>
          <w:numId w:val="1"/>
        </w:numPr>
        <w:spacing w:before="120" w:after="120" w:line="276" w:lineRule="auto"/>
        <w:ind w:left="850" w:hanging="435"/>
        <w:jc w:val="both"/>
        <w:rPr>
          <w:rFonts w:ascii="Calibri" w:eastAsia="Calibri" w:hAnsi="Calibri" w:cs="Calibri"/>
          <w:i/>
        </w:rPr>
      </w:pPr>
      <w:r>
        <w:rPr>
          <w:rFonts w:ascii="Calibri" w:eastAsia="Calibri" w:hAnsi="Calibri" w:cs="Calibri"/>
          <w:i/>
          <w:sz w:val="20"/>
          <w:szCs w:val="20"/>
          <w:highlight w:val="yellow"/>
        </w:rPr>
        <w:t>Enumerar neste campo os órgãos participantes</w:t>
      </w:r>
    </w:p>
    <w:p w14:paraId="5DF74723" w14:textId="77777777" w:rsidR="002E193D" w:rsidRDefault="002E193D">
      <w:pPr>
        <w:spacing w:before="120" w:after="120" w:line="276" w:lineRule="auto"/>
        <w:jc w:val="both"/>
        <w:rPr>
          <w:rFonts w:ascii="Calibri" w:eastAsia="Calibri" w:hAnsi="Calibri" w:cs="Calibri"/>
          <w:i/>
          <w:sz w:val="20"/>
          <w:szCs w:val="20"/>
        </w:rPr>
      </w:pPr>
    </w:p>
    <w:p w14:paraId="7270F7DB" w14:textId="77777777" w:rsidR="002E193D" w:rsidRDefault="00000000">
      <w:pPr>
        <w:keepNext/>
        <w:keepLines/>
        <w:widowControl w:val="0"/>
        <w:numPr>
          <w:ilvl w:val="0"/>
          <w:numId w:val="1"/>
        </w:numPr>
        <w:spacing w:before="480" w:after="120" w:line="276" w:lineRule="auto"/>
        <w:jc w:val="both"/>
        <w:rPr>
          <w:rFonts w:ascii="Calibri" w:eastAsia="Calibri" w:hAnsi="Calibri" w:cs="Calibri"/>
          <w:i/>
          <w:sz w:val="20"/>
          <w:szCs w:val="20"/>
        </w:rPr>
      </w:pPr>
      <w:r>
        <w:rPr>
          <w:rFonts w:ascii="Calibri" w:eastAsia="Calibri" w:hAnsi="Calibri" w:cs="Calibri"/>
          <w:i/>
          <w:sz w:val="20"/>
          <w:szCs w:val="20"/>
        </w:rPr>
        <w:lastRenderedPageBreak/>
        <w:t>DA ADESÃO À ATA DE REGISTRO DE PREÇOS</w:t>
      </w:r>
    </w:p>
    <w:p w14:paraId="72E18D35" w14:textId="77777777" w:rsidR="002E193D" w:rsidRDefault="00000000">
      <w:pPr>
        <w:keepNext/>
        <w:keepLines/>
        <w:widowControl w:val="0"/>
        <w:numPr>
          <w:ilvl w:val="1"/>
          <w:numId w:val="1"/>
        </w:numPr>
        <w:spacing w:before="480" w:after="120" w:line="276" w:lineRule="auto"/>
        <w:ind w:hanging="432"/>
        <w:jc w:val="both"/>
        <w:rPr>
          <w:rFonts w:ascii="Calibri" w:eastAsia="Calibri" w:hAnsi="Calibri" w:cs="Calibri"/>
          <w:i/>
          <w:sz w:val="20"/>
          <w:szCs w:val="20"/>
        </w:rPr>
      </w:pPr>
      <w:r>
        <w:rPr>
          <w:rFonts w:ascii="Calibri" w:eastAsia="Calibri" w:hAnsi="Calibri" w:cs="Calibri"/>
          <w:i/>
          <w:sz w:val="20"/>
          <w:szCs w:val="20"/>
        </w:rPr>
        <w:t>A ata de registro de preços, durante sua validade, poderá ser utilizada por qualquer órgão ou entidade da administração pública que não tenha participado do certame licitatório, mediante anuência do órgão gerenciador, desde que devidamente justificada a vantagem e respeitadas, no que couber, as condições e as regras estabelecidas na Lei nº 14.133, de 2021 e no Decreto nº 11.462, de 2023.</w:t>
      </w:r>
    </w:p>
    <w:p w14:paraId="51F325CF" w14:textId="77777777" w:rsidR="002E193D" w:rsidRDefault="00000000">
      <w:pPr>
        <w:keepNext/>
        <w:keepLines/>
        <w:widowControl w:val="0"/>
        <w:numPr>
          <w:ilvl w:val="2"/>
          <w:numId w:val="1"/>
        </w:numPr>
        <w:pBdr>
          <w:top w:val="nil"/>
          <w:left w:val="nil"/>
          <w:bottom w:val="nil"/>
          <w:right w:val="nil"/>
          <w:between w:val="nil"/>
        </w:pBdr>
        <w:spacing w:before="480" w:after="120"/>
        <w:ind w:left="1133" w:hanging="435"/>
        <w:jc w:val="both"/>
        <w:rPr>
          <w:rFonts w:ascii="Calibri" w:eastAsia="Calibri" w:hAnsi="Calibri" w:cs="Calibri"/>
          <w:color w:val="000000"/>
          <w:sz w:val="20"/>
          <w:szCs w:val="20"/>
        </w:rPr>
      </w:pPr>
      <w:r>
        <w:rPr>
          <w:rFonts w:ascii="Calibri" w:eastAsia="Calibri" w:hAnsi="Calibri" w:cs="Calibri"/>
          <w:i/>
          <w:sz w:val="20"/>
          <w:szCs w:val="20"/>
        </w:rPr>
        <w:t>A manifestação do órgão gerenciador de que trata o subitem anterior, salvo para adesões feitas por órgãos ou entidades de outras esferas federativas, fica condicionada à realização de estudo, pelos órgãos e pelas entidades que não participaram do registro de preços, que demonstre o ganho de eficiência, a viabilidade e a economicidade para a administração pública federal da utilização da ata de registro de preços, conforme estabelecido em ato do Secretário de Gestão do Ministério do Planejamento, Desenvolvimento e Gestão</w:t>
      </w:r>
    </w:p>
    <w:p w14:paraId="77FE6444" w14:textId="77777777" w:rsidR="002E193D" w:rsidRDefault="00000000">
      <w:pPr>
        <w:keepNext/>
        <w:keepLines/>
        <w:widowControl w:val="0"/>
        <w:numPr>
          <w:ilvl w:val="1"/>
          <w:numId w:val="1"/>
        </w:numPr>
        <w:pBdr>
          <w:top w:val="nil"/>
          <w:left w:val="nil"/>
          <w:bottom w:val="nil"/>
          <w:right w:val="nil"/>
          <w:between w:val="nil"/>
        </w:pBdr>
        <w:spacing w:before="480" w:after="120"/>
        <w:ind w:left="425" w:hanging="435"/>
        <w:jc w:val="both"/>
        <w:rPr>
          <w:rFonts w:ascii="Calibri" w:eastAsia="Calibri" w:hAnsi="Calibri" w:cs="Calibri"/>
          <w:color w:val="000000"/>
          <w:sz w:val="20"/>
          <w:szCs w:val="20"/>
        </w:rPr>
      </w:pPr>
      <w:r>
        <w:rPr>
          <w:rFonts w:ascii="Calibri" w:eastAsia="Calibri" w:hAnsi="Calibri" w:cs="Calibri"/>
          <w:i/>
          <w:sz w:val="20"/>
          <w:szCs w:val="20"/>
        </w:rPr>
        <w:t>Caberá ao fornecedor beneficiário da Ata de Registro de Preços, observadas as condições nela estabelecidas, optar pela aceitação ou não do fornecimento, desde que este fornecimento não prejudique as obrigações anteriormente assumidas com o órgão gerenciador e órgãos participantes.</w:t>
      </w:r>
    </w:p>
    <w:p w14:paraId="75597E62" w14:textId="77777777" w:rsidR="002E193D" w:rsidRDefault="00000000">
      <w:pPr>
        <w:keepNext/>
        <w:keepLines/>
        <w:widowControl w:val="0"/>
        <w:numPr>
          <w:ilvl w:val="1"/>
          <w:numId w:val="1"/>
        </w:numPr>
        <w:pBdr>
          <w:top w:val="nil"/>
          <w:left w:val="nil"/>
          <w:bottom w:val="nil"/>
          <w:right w:val="nil"/>
          <w:between w:val="nil"/>
        </w:pBdr>
        <w:spacing w:before="480" w:after="120"/>
        <w:ind w:left="425" w:hanging="435"/>
        <w:jc w:val="both"/>
        <w:rPr>
          <w:rFonts w:ascii="Calibri" w:eastAsia="Calibri" w:hAnsi="Calibri" w:cs="Calibri"/>
          <w:color w:val="000000"/>
          <w:sz w:val="20"/>
          <w:szCs w:val="20"/>
        </w:rPr>
      </w:pPr>
      <w:r>
        <w:rPr>
          <w:rFonts w:ascii="Calibri" w:eastAsia="Calibri" w:hAnsi="Calibri" w:cs="Calibri"/>
          <w:i/>
          <w:sz w:val="20"/>
          <w:szCs w:val="20"/>
        </w:rPr>
        <w:t>As aquisições ou contratações adicionais a que se refere este item não poderão exceder, por órgão ou entidade, a... (máximo cinquenta) por cento dos quantitativos dos itens do instrumento convocatório e registrados na ata de registro de preços para o órgão gerenciador e órgãos participantes, conforme versa Inciso I do Art. 32 do Decreto 11.462/2013.</w:t>
      </w:r>
    </w:p>
    <w:p w14:paraId="05527535" w14:textId="77777777" w:rsidR="002E193D" w:rsidRDefault="00000000">
      <w:pPr>
        <w:keepNext/>
        <w:keepLines/>
        <w:widowControl w:val="0"/>
        <w:numPr>
          <w:ilvl w:val="1"/>
          <w:numId w:val="1"/>
        </w:numPr>
        <w:pBdr>
          <w:top w:val="nil"/>
          <w:left w:val="nil"/>
          <w:bottom w:val="nil"/>
          <w:right w:val="nil"/>
          <w:between w:val="nil"/>
        </w:pBdr>
        <w:spacing w:before="480" w:after="120"/>
        <w:ind w:left="425" w:hanging="435"/>
        <w:jc w:val="both"/>
        <w:rPr>
          <w:rFonts w:ascii="Calibri" w:eastAsia="Calibri" w:hAnsi="Calibri" w:cs="Calibri"/>
          <w:color w:val="000000"/>
          <w:sz w:val="20"/>
          <w:szCs w:val="20"/>
        </w:rPr>
      </w:pPr>
      <w:r>
        <w:rPr>
          <w:rFonts w:ascii="Calibri" w:eastAsia="Calibri" w:hAnsi="Calibri" w:cs="Calibri"/>
          <w:i/>
          <w:sz w:val="20"/>
          <w:szCs w:val="20"/>
        </w:rPr>
        <w:t>As adesões à ata de registro de preços são limitadas, na totalidade, ao dobro do quantitativo de cada item registrado na ata de registro de preços para o órgão gerenciador e órgãos participantes, independente do número de órgãos não participantes que eventualmente aderirem.</w:t>
      </w:r>
    </w:p>
    <w:p w14:paraId="4767329E" w14:textId="77777777" w:rsidR="002E193D" w:rsidRDefault="00000000">
      <w:pPr>
        <w:keepNext/>
        <w:keepLines/>
        <w:widowControl w:val="0"/>
        <w:numPr>
          <w:ilvl w:val="1"/>
          <w:numId w:val="1"/>
        </w:numPr>
        <w:pBdr>
          <w:top w:val="nil"/>
          <w:left w:val="nil"/>
          <w:bottom w:val="nil"/>
          <w:right w:val="nil"/>
          <w:between w:val="nil"/>
        </w:pBdr>
        <w:spacing w:before="480" w:after="120"/>
        <w:ind w:left="425" w:hanging="435"/>
        <w:jc w:val="both"/>
        <w:rPr>
          <w:rFonts w:ascii="Calibri" w:eastAsia="Calibri" w:hAnsi="Calibri" w:cs="Calibri"/>
          <w:color w:val="000000"/>
          <w:sz w:val="20"/>
          <w:szCs w:val="20"/>
        </w:rPr>
      </w:pPr>
      <w:r>
        <w:rPr>
          <w:rFonts w:ascii="Calibri" w:eastAsia="Calibri" w:hAnsi="Calibri" w:cs="Calibri"/>
          <w:i/>
          <w:sz w:val="20"/>
          <w:szCs w:val="20"/>
        </w:rPr>
        <w:t>Ao órgão não participante que aderir à ata competem os atos relativos à cobrança do cumprimento pelo fornecedor das obrigações contratualmente assumidas e a aplicação, observada a ampla defesa e o contraditório, de eventuais penalidades decorrentes do descumprimento de cláusulas contratuais, em relação as suas próprias contratações, informando as ocorrências ao órgão gerenciador.</w:t>
      </w:r>
    </w:p>
    <w:p w14:paraId="5D0DB25C" w14:textId="77777777" w:rsidR="002E193D" w:rsidRDefault="00000000">
      <w:pPr>
        <w:keepNext/>
        <w:keepLines/>
        <w:widowControl w:val="0"/>
        <w:numPr>
          <w:ilvl w:val="1"/>
          <w:numId w:val="1"/>
        </w:numPr>
        <w:pBdr>
          <w:top w:val="nil"/>
          <w:left w:val="nil"/>
          <w:bottom w:val="nil"/>
          <w:right w:val="nil"/>
          <w:between w:val="nil"/>
        </w:pBdr>
        <w:spacing w:before="480" w:after="120"/>
        <w:ind w:left="425" w:hanging="435"/>
        <w:jc w:val="both"/>
        <w:rPr>
          <w:rFonts w:ascii="Calibri" w:eastAsia="Calibri" w:hAnsi="Calibri" w:cs="Calibri"/>
          <w:color w:val="000000"/>
          <w:sz w:val="20"/>
          <w:szCs w:val="20"/>
        </w:rPr>
      </w:pPr>
      <w:r>
        <w:rPr>
          <w:rFonts w:ascii="Calibri" w:eastAsia="Calibri" w:hAnsi="Calibri" w:cs="Calibri"/>
          <w:i/>
          <w:sz w:val="20"/>
          <w:szCs w:val="20"/>
        </w:rPr>
        <w:t>Após a autorização do órgão gerenciador, o órgão não participante deverá efetivar a contratação solicitada em até noventa dias, observado o prazo de validade da Ata de Registro de Preços.</w:t>
      </w:r>
    </w:p>
    <w:p w14:paraId="718060E4" w14:textId="77777777" w:rsidR="002E193D" w:rsidRDefault="00000000">
      <w:pPr>
        <w:keepNext/>
        <w:keepLines/>
        <w:widowControl w:val="0"/>
        <w:numPr>
          <w:ilvl w:val="2"/>
          <w:numId w:val="1"/>
        </w:numPr>
        <w:pBdr>
          <w:top w:val="nil"/>
          <w:left w:val="nil"/>
          <w:bottom w:val="nil"/>
          <w:right w:val="nil"/>
          <w:between w:val="nil"/>
        </w:pBdr>
        <w:spacing w:before="480" w:after="120"/>
        <w:ind w:left="425" w:hanging="435"/>
        <w:jc w:val="both"/>
        <w:rPr>
          <w:rFonts w:ascii="Calibri" w:eastAsia="Calibri" w:hAnsi="Calibri" w:cs="Calibri"/>
          <w:color w:val="000000"/>
          <w:sz w:val="20"/>
          <w:szCs w:val="20"/>
        </w:rPr>
      </w:pPr>
      <w:r>
        <w:rPr>
          <w:rFonts w:ascii="Calibri" w:eastAsia="Calibri" w:hAnsi="Calibri" w:cs="Calibri"/>
          <w:i/>
          <w:sz w:val="20"/>
          <w:szCs w:val="20"/>
        </w:rPr>
        <w:t>Caberá ao órgão gerenciador autorizar, excepcional e justificadamente, a prorrogação do prazo para efetivação da contratação, respeitado o prazo de vigência da ata, desde que solicitada pelo órgão não participante.</w:t>
      </w:r>
    </w:p>
    <w:p w14:paraId="6511F320" w14:textId="77777777" w:rsidR="002E193D" w:rsidRDefault="00000000">
      <w:pPr>
        <w:keepNext/>
        <w:keepLines/>
        <w:widowControl w:val="0"/>
        <w:numPr>
          <w:ilvl w:val="0"/>
          <w:numId w:val="1"/>
        </w:numPr>
        <w:pBdr>
          <w:top w:val="nil"/>
          <w:left w:val="nil"/>
          <w:bottom w:val="nil"/>
          <w:right w:val="nil"/>
          <w:between w:val="nil"/>
        </w:pBdr>
        <w:spacing w:before="480" w:after="120" w:line="276" w:lineRule="auto"/>
        <w:jc w:val="both"/>
        <w:rPr>
          <w:rFonts w:ascii="Calibri" w:eastAsia="Calibri" w:hAnsi="Calibri" w:cs="Calibri"/>
          <w:b/>
          <w:color w:val="000000"/>
          <w:sz w:val="20"/>
          <w:szCs w:val="20"/>
        </w:rPr>
      </w:pPr>
      <w:r>
        <w:rPr>
          <w:rFonts w:ascii="Calibri" w:eastAsia="Calibri" w:hAnsi="Calibri" w:cs="Calibri"/>
          <w:b/>
          <w:color w:val="000000"/>
          <w:sz w:val="20"/>
          <w:szCs w:val="20"/>
        </w:rPr>
        <w:lastRenderedPageBreak/>
        <w:t xml:space="preserve">VALIDADE DA ATA </w:t>
      </w:r>
    </w:p>
    <w:p w14:paraId="7CA90CD4"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 xml:space="preserve">A validade da Ata de Registro de Preços será de </w:t>
      </w:r>
      <w:r>
        <w:rPr>
          <w:rFonts w:ascii="Calibri" w:eastAsia="Calibri" w:hAnsi="Calibri" w:cs="Calibri"/>
          <w:i/>
          <w:sz w:val="20"/>
          <w:szCs w:val="20"/>
        </w:rPr>
        <w:t>24 meses</w:t>
      </w:r>
      <w:r>
        <w:rPr>
          <w:rFonts w:ascii="Calibri" w:eastAsia="Calibri" w:hAnsi="Calibri" w:cs="Calibri"/>
          <w:sz w:val="20"/>
          <w:szCs w:val="20"/>
        </w:rPr>
        <w:t>, a partir do(a)................................, podendo ser prorrogada, no interesse do órgão gerenciador, conforme preceitua o Art. 22 do Decreto 11.462/2023.</w:t>
      </w:r>
    </w:p>
    <w:p w14:paraId="7C5E2B08" w14:textId="77777777" w:rsidR="002E193D" w:rsidRDefault="002E193D">
      <w:pPr>
        <w:rPr>
          <w:rFonts w:ascii="Calibri" w:eastAsia="Calibri" w:hAnsi="Calibri" w:cs="Calibri"/>
          <w:color w:val="00B050"/>
          <w:sz w:val="20"/>
          <w:szCs w:val="20"/>
        </w:rPr>
      </w:pPr>
    </w:p>
    <w:p w14:paraId="43A5C239" w14:textId="77777777" w:rsidR="002E193D" w:rsidRDefault="00000000">
      <w:pPr>
        <w:widowControl w:val="0"/>
        <w:numPr>
          <w:ilvl w:val="0"/>
          <w:numId w:val="1"/>
        </w:numPr>
        <w:spacing w:before="240"/>
        <w:ind w:right="-30"/>
        <w:jc w:val="both"/>
        <w:rPr>
          <w:rFonts w:ascii="Calibri" w:eastAsia="Calibri" w:hAnsi="Calibri" w:cs="Calibri"/>
          <w:sz w:val="20"/>
          <w:szCs w:val="20"/>
        </w:rPr>
      </w:pPr>
      <w:r>
        <w:rPr>
          <w:rFonts w:ascii="Calibri" w:eastAsia="Calibri" w:hAnsi="Calibri" w:cs="Calibri"/>
          <w:b/>
          <w:sz w:val="20"/>
          <w:szCs w:val="20"/>
        </w:rPr>
        <w:t>REVISÃO E CANCELAMENTO</w:t>
      </w:r>
      <w:r>
        <w:rPr>
          <w:rFonts w:ascii="Calibri" w:eastAsia="Calibri" w:hAnsi="Calibri" w:cs="Calibri"/>
          <w:sz w:val="20"/>
          <w:szCs w:val="20"/>
        </w:rPr>
        <w:t xml:space="preserve"> </w:t>
      </w:r>
    </w:p>
    <w:p w14:paraId="4918E956" w14:textId="77777777" w:rsidR="002E193D" w:rsidRDefault="00000000">
      <w:pPr>
        <w:numPr>
          <w:ilvl w:val="1"/>
          <w:numId w:val="1"/>
        </w:numPr>
        <w:pBdr>
          <w:top w:val="nil"/>
          <w:left w:val="nil"/>
          <w:bottom w:val="nil"/>
          <w:right w:val="nil"/>
          <w:between w:val="nil"/>
        </w:pBdr>
        <w:spacing w:before="120" w:after="120" w:line="276" w:lineRule="auto"/>
        <w:ind w:left="425" w:firstLine="0"/>
        <w:jc w:val="both"/>
        <w:rPr>
          <w:rFonts w:ascii="Calibri" w:eastAsia="Calibri" w:hAnsi="Calibri" w:cs="Calibri"/>
          <w:color w:val="000000"/>
          <w:sz w:val="20"/>
          <w:szCs w:val="20"/>
        </w:rPr>
      </w:pPr>
      <w:r>
        <w:rPr>
          <w:rFonts w:ascii="Calibri" w:eastAsia="Calibri" w:hAnsi="Calibri" w:cs="Calibri"/>
          <w:color w:val="000000"/>
          <w:sz w:val="20"/>
          <w:szCs w:val="20"/>
        </w:rPr>
        <w:t>A Administração realizará pesquisa de mercado periodicamente, em intervalos não superiores a 180 (cento e oitenta) dias, a fim de verificar a vantajosidade dos preços registrados nesta Ata.</w:t>
      </w:r>
    </w:p>
    <w:p w14:paraId="5BBC5FE8"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Os preços registrados poderão ser revistos em decorrência de eventual redução dos preços praticados no mercado ou de fato que eleve o custo do objeto registrado, cabendo à Administração promover as negociações junto ao(s) fornecedor(es).</w:t>
      </w:r>
    </w:p>
    <w:p w14:paraId="64B8350D"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Quando o preço registrado tornar-se superior ao preço praticado no mercado por motivo superveniente, a Administração convocará o(s) fornecedor(es) para negociar(em) a redução dos preços aos valores praticados pelo mercado.</w:t>
      </w:r>
    </w:p>
    <w:p w14:paraId="09D81189"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O fornecedor que não aceitar reduzir seu preço ao valor praticado pelo mercado será liberado do compromisso assumido, sem aplicação de penalidade.</w:t>
      </w:r>
    </w:p>
    <w:p w14:paraId="41257821"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A ordem de classificação dos fornecedores que aceitarem reduzir seus preços aos valores de mercado observará a classificação original.</w:t>
      </w:r>
    </w:p>
    <w:p w14:paraId="557E6F24"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Quando o preço de mercado tornar-se superior aos preços registrados e o fornecedor não puder cumprir o compromisso, o órgão gerenciador poderá:</w:t>
      </w:r>
    </w:p>
    <w:p w14:paraId="6E7A9A28"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liberar o fornecedor do compromisso assumido, caso a comunicação ocorra antes do pedido de fornecimento, e sem aplicação da penalidade se confirmada a veracidade dos motivos e comprovantes apresentados; e</w:t>
      </w:r>
    </w:p>
    <w:p w14:paraId="7078E7D1"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convocar os demais fornecedores para assegurar igual oportunidade de negociação.</w:t>
      </w:r>
    </w:p>
    <w:p w14:paraId="69621D5B"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Não havendo êxito nas negociações, o órgão gerenciador deverá proceder à revogação desta ata de registro de preços, adotando as medidas cabíveis para obtenção da contratação mais vantajosa.</w:t>
      </w:r>
    </w:p>
    <w:p w14:paraId="740D2391"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O registro do fornecedor será cancelado quando:</w:t>
      </w:r>
    </w:p>
    <w:p w14:paraId="371A6704"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descumprir as condições da ata de registro de preços;</w:t>
      </w:r>
    </w:p>
    <w:p w14:paraId="0AEEC951"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não retirar a nota de empenho ou instrumento equivalente no prazo estabelecido pela Administração, sem justificativa aceitável;</w:t>
      </w:r>
    </w:p>
    <w:p w14:paraId="05ADD922"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não aceitar reduzir o seu preço registrado, na hipótese deste se tornar superior àqueles praticados no mercado; ou</w:t>
      </w:r>
    </w:p>
    <w:p w14:paraId="796FA35F"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sofrer sanção administrativa cujo efeito torne-o proibido de celebrar contrato administrativo, alcançando o órgão gerenciador e órgão(s) participante(s).</w:t>
      </w:r>
    </w:p>
    <w:p w14:paraId="4ADB724A"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lastRenderedPageBreak/>
        <w:t>O cancelamento de registros nas hipóteses previstas nos itens 6.7.1, 6.7.2 e 6.7.4 será formalizado por despacho do órgão gerenciador, assegurado o contraditório e a ampla defesa.</w:t>
      </w:r>
    </w:p>
    <w:p w14:paraId="5FBC679C"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O cancelamento do registro de preços poderá ocorrer por fato superveniente, decorrente de caso fortuito ou força maior, que prejudique o cumprimento da ata, devidamente comprovados e justificados:</w:t>
      </w:r>
    </w:p>
    <w:p w14:paraId="59DFA6A2"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por razão de interesse público; ou</w:t>
      </w:r>
    </w:p>
    <w:p w14:paraId="74088252" w14:textId="77777777" w:rsidR="002E193D" w:rsidRDefault="00000000">
      <w:pPr>
        <w:numPr>
          <w:ilvl w:val="2"/>
          <w:numId w:val="1"/>
        </w:numPr>
        <w:spacing w:before="120" w:after="120" w:line="276" w:lineRule="auto"/>
        <w:ind w:left="1134" w:firstLine="0"/>
        <w:jc w:val="both"/>
        <w:rPr>
          <w:rFonts w:ascii="Calibri" w:eastAsia="Calibri" w:hAnsi="Calibri" w:cs="Calibri"/>
          <w:sz w:val="20"/>
          <w:szCs w:val="20"/>
        </w:rPr>
      </w:pPr>
      <w:r>
        <w:rPr>
          <w:rFonts w:ascii="Calibri" w:eastAsia="Calibri" w:hAnsi="Calibri" w:cs="Calibri"/>
          <w:sz w:val="20"/>
          <w:szCs w:val="20"/>
        </w:rPr>
        <w:t>a pedido do fornecedor. </w:t>
      </w:r>
    </w:p>
    <w:p w14:paraId="057C6C18" w14:textId="77777777" w:rsidR="002E193D" w:rsidRDefault="00000000">
      <w:pPr>
        <w:keepNext/>
        <w:keepLines/>
        <w:widowControl w:val="0"/>
        <w:numPr>
          <w:ilvl w:val="0"/>
          <w:numId w:val="1"/>
        </w:numPr>
        <w:pBdr>
          <w:top w:val="nil"/>
          <w:left w:val="nil"/>
          <w:bottom w:val="nil"/>
          <w:right w:val="nil"/>
          <w:between w:val="nil"/>
        </w:pBdr>
        <w:spacing w:before="480" w:after="120" w:line="276" w:lineRule="auto"/>
        <w:ind w:left="357" w:hanging="357"/>
        <w:jc w:val="both"/>
        <w:rPr>
          <w:rFonts w:ascii="Calibri" w:eastAsia="Calibri" w:hAnsi="Calibri" w:cs="Calibri"/>
          <w:b/>
          <w:color w:val="000000"/>
          <w:sz w:val="20"/>
          <w:szCs w:val="20"/>
        </w:rPr>
      </w:pPr>
      <w:r>
        <w:rPr>
          <w:rFonts w:ascii="Calibri" w:eastAsia="Calibri" w:hAnsi="Calibri" w:cs="Calibri"/>
          <w:b/>
          <w:color w:val="000000"/>
          <w:sz w:val="20"/>
          <w:szCs w:val="20"/>
        </w:rPr>
        <w:t>DAS PENALIDADES</w:t>
      </w:r>
    </w:p>
    <w:p w14:paraId="114B8234"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O descumprimento da Ata de Registro de Preços ensejará aplicação das penalidades estabelecidas no Edital.</w:t>
      </w:r>
    </w:p>
    <w:p w14:paraId="18CEC22F"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É da competência do órgão gerenciador a aplicar, garantidos os princípios da ampla defesa e do contraditório, as penalidades decorrentes do descumprimento do pactuado na ata de registro de preços, em relação à sua demanda registrada, ou do descumprimento das obrigações contratuais, em relação às suas próprias contratações, e registrá-las no SICAF; e</w:t>
      </w:r>
    </w:p>
    <w:p w14:paraId="4EFC4EE1" w14:textId="77777777" w:rsidR="002E193D" w:rsidRDefault="00000000">
      <w:pPr>
        <w:numPr>
          <w:ilvl w:val="2"/>
          <w:numId w:val="1"/>
        </w:numPr>
        <w:spacing w:before="120" w:after="120" w:line="276" w:lineRule="auto"/>
        <w:jc w:val="both"/>
        <w:rPr>
          <w:rFonts w:ascii="Calibri" w:eastAsia="Calibri" w:hAnsi="Calibri" w:cs="Calibri"/>
          <w:sz w:val="20"/>
          <w:szCs w:val="20"/>
        </w:rPr>
      </w:pPr>
      <w:r>
        <w:rPr>
          <w:rFonts w:ascii="Calibri" w:eastAsia="Calibri" w:hAnsi="Calibri" w:cs="Calibri"/>
          <w:sz w:val="20"/>
          <w:szCs w:val="20"/>
        </w:rPr>
        <w:t>aceitar, excepcionalmente, a prorrogação do prazo previsto no § 2º do art. 31, nos termos do disposto no § 3º do art. 31 do Decreto 11.462/2023.</w:t>
      </w:r>
    </w:p>
    <w:p w14:paraId="406AE45B"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O órgão participante deverá comunicar ao órgão gerenciador qualquer das ocorrências previstas no Art. 28 do Decreto nº 11.462/2023, dada a necessidade de instauração de procedimento para cancelamento do registro do fornecedor.</w:t>
      </w:r>
    </w:p>
    <w:p w14:paraId="5FC74FFF" w14:textId="77777777" w:rsidR="002E193D" w:rsidRDefault="002E193D">
      <w:pPr>
        <w:widowControl w:val="0"/>
        <w:ind w:left="360"/>
        <w:jc w:val="both"/>
        <w:rPr>
          <w:rFonts w:ascii="Calibri" w:eastAsia="Calibri" w:hAnsi="Calibri" w:cs="Calibri"/>
          <w:b/>
          <w:sz w:val="20"/>
          <w:szCs w:val="20"/>
        </w:rPr>
      </w:pPr>
    </w:p>
    <w:p w14:paraId="7C54DAC6" w14:textId="77777777" w:rsidR="002E193D" w:rsidRDefault="00000000">
      <w:pPr>
        <w:widowControl w:val="0"/>
        <w:numPr>
          <w:ilvl w:val="0"/>
          <w:numId w:val="1"/>
        </w:numPr>
        <w:jc w:val="both"/>
        <w:rPr>
          <w:rFonts w:ascii="Calibri" w:eastAsia="Calibri" w:hAnsi="Calibri" w:cs="Calibri"/>
          <w:b/>
          <w:sz w:val="20"/>
          <w:szCs w:val="20"/>
        </w:rPr>
      </w:pPr>
      <w:r>
        <w:rPr>
          <w:rFonts w:ascii="Calibri" w:eastAsia="Calibri" w:hAnsi="Calibri" w:cs="Calibri"/>
          <w:b/>
          <w:sz w:val="20"/>
          <w:szCs w:val="20"/>
        </w:rPr>
        <w:t>CONDIÇÕES GERAIS</w:t>
      </w:r>
    </w:p>
    <w:p w14:paraId="5E59E8C5"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14:paraId="3A43BDBC"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sz w:val="20"/>
          <w:szCs w:val="20"/>
        </w:rPr>
        <w:t>É permitido efetuar acréscimos nos quantitativos fixados nesta ata de registro de preços, inclusive acréscimos e supressões de que trata o art.125 da Lei nº 14.133.</w:t>
      </w:r>
    </w:p>
    <w:p w14:paraId="53D2ABEA"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i/>
          <w:sz w:val="20"/>
          <w:szCs w:val="20"/>
        </w:rPr>
        <w:t>No caso de adjudicação por preço global de grupo de itens, só será admitida a contratação dos itens nas seguintes hipóteses.</w:t>
      </w:r>
    </w:p>
    <w:p w14:paraId="541A08F2" w14:textId="77777777" w:rsidR="002E193D" w:rsidRDefault="00000000">
      <w:pPr>
        <w:numPr>
          <w:ilvl w:val="2"/>
          <w:numId w:val="1"/>
        </w:numPr>
        <w:spacing w:before="120" w:after="120" w:line="276" w:lineRule="auto"/>
        <w:ind w:left="1224"/>
        <w:jc w:val="both"/>
        <w:rPr>
          <w:rFonts w:ascii="Calibri" w:eastAsia="Calibri" w:hAnsi="Calibri" w:cs="Calibri"/>
          <w:sz w:val="20"/>
          <w:szCs w:val="20"/>
        </w:rPr>
      </w:pPr>
      <w:r>
        <w:rPr>
          <w:rFonts w:ascii="Calibri" w:eastAsia="Calibri" w:hAnsi="Calibri" w:cs="Calibri"/>
          <w:i/>
          <w:sz w:val="20"/>
          <w:szCs w:val="20"/>
        </w:rPr>
        <w:t xml:space="preserve"> contratação da totalidade dos itens de grupo, respeitadas as proporções de quantitativos definidos no certame; ou</w:t>
      </w:r>
    </w:p>
    <w:p w14:paraId="05D61D0F" w14:textId="77777777" w:rsidR="002E193D" w:rsidRDefault="00000000">
      <w:pPr>
        <w:numPr>
          <w:ilvl w:val="2"/>
          <w:numId w:val="1"/>
        </w:numPr>
        <w:spacing w:before="120" w:after="120" w:line="276" w:lineRule="auto"/>
        <w:ind w:left="1224"/>
        <w:jc w:val="both"/>
        <w:rPr>
          <w:rFonts w:ascii="Calibri" w:eastAsia="Calibri" w:hAnsi="Calibri" w:cs="Calibri"/>
          <w:sz w:val="20"/>
          <w:szCs w:val="20"/>
        </w:rPr>
      </w:pPr>
      <w:r>
        <w:rPr>
          <w:rFonts w:ascii="Calibri" w:eastAsia="Calibri" w:hAnsi="Calibri" w:cs="Calibri"/>
          <w:i/>
          <w:sz w:val="20"/>
          <w:szCs w:val="20"/>
        </w:rPr>
        <w:t xml:space="preserve"> contratação de item isolado para o qual o preço unitário adjudicado ao vencedor seja o menor preço válido ofertado para o mesmo item na fase de lances</w:t>
      </w:r>
    </w:p>
    <w:p w14:paraId="02258692" w14:textId="77777777" w:rsidR="002E193D" w:rsidRDefault="00000000">
      <w:pPr>
        <w:numPr>
          <w:ilvl w:val="1"/>
          <w:numId w:val="1"/>
        </w:numPr>
        <w:spacing w:before="120" w:after="120" w:line="276" w:lineRule="auto"/>
        <w:ind w:left="425" w:firstLine="0"/>
        <w:jc w:val="both"/>
        <w:rPr>
          <w:rFonts w:ascii="Calibri" w:eastAsia="Calibri" w:hAnsi="Calibri" w:cs="Calibri"/>
          <w:sz w:val="20"/>
          <w:szCs w:val="20"/>
        </w:rPr>
      </w:pPr>
      <w:r>
        <w:rPr>
          <w:rFonts w:ascii="Calibri" w:eastAsia="Calibri" w:hAnsi="Calibri" w:cs="Calibri"/>
          <w:i/>
          <w:sz w:val="20"/>
          <w:szCs w:val="20"/>
        </w:rPr>
        <w:t>A ata de realização da sessão pública do pregão, contendo a relação dos licitantes que aceitarem cotar os bens ou serviços com preços iguais ao do licitante vencedor do certame, será anexada a esta Ata de Registro de Preços, nos termos da letra a) do inc. II do art. 18 do Decreto n. 11.462, de 2023.</w:t>
      </w:r>
    </w:p>
    <w:p w14:paraId="74A83267" w14:textId="77777777" w:rsidR="002E193D" w:rsidRDefault="002E193D">
      <w:pPr>
        <w:widowControl w:val="0"/>
        <w:ind w:right="-15"/>
        <w:jc w:val="both"/>
        <w:rPr>
          <w:rFonts w:ascii="Calibri" w:eastAsia="Calibri" w:hAnsi="Calibri" w:cs="Calibri"/>
          <w:sz w:val="20"/>
          <w:szCs w:val="20"/>
        </w:rPr>
      </w:pPr>
    </w:p>
    <w:p w14:paraId="73A28F6E" w14:textId="77777777" w:rsidR="002E193D" w:rsidRDefault="00000000">
      <w:pPr>
        <w:widowControl w:val="0"/>
        <w:ind w:right="-15"/>
        <w:jc w:val="both"/>
        <w:rPr>
          <w:rFonts w:ascii="Calibri" w:eastAsia="Calibri" w:hAnsi="Calibri" w:cs="Calibri"/>
          <w:i/>
          <w:sz w:val="20"/>
          <w:szCs w:val="20"/>
        </w:rPr>
      </w:pPr>
      <w:r>
        <w:rPr>
          <w:rFonts w:ascii="Calibri" w:eastAsia="Calibri" w:hAnsi="Calibri" w:cs="Calibri"/>
          <w:sz w:val="20"/>
          <w:szCs w:val="20"/>
        </w:rPr>
        <w:t xml:space="preserve">Para firmeza e validade do pactuado, a presente Ata foi lavrada em .... (....) vias de igual teor, que, depois de lida e achada em ordem, vai assinada pelas partes </w:t>
      </w:r>
      <w:r>
        <w:rPr>
          <w:rFonts w:ascii="Calibri" w:eastAsia="Calibri" w:hAnsi="Calibri" w:cs="Calibri"/>
          <w:i/>
          <w:sz w:val="20"/>
          <w:szCs w:val="20"/>
        </w:rPr>
        <w:t xml:space="preserve">e encaminhada cópia aos demais órgãos participantes (se houver). </w:t>
      </w:r>
    </w:p>
    <w:p w14:paraId="3E656306" w14:textId="77777777" w:rsidR="002E193D" w:rsidRDefault="002E193D">
      <w:pPr>
        <w:widowControl w:val="0"/>
        <w:ind w:right="-30"/>
        <w:jc w:val="center"/>
        <w:rPr>
          <w:rFonts w:ascii="Calibri" w:eastAsia="Calibri" w:hAnsi="Calibri" w:cs="Calibri"/>
          <w:sz w:val="20"/>
          <w:szCs w:val="20"/>
        </w:rPr>
      </w:pPr>
    </w:p>
    <w:p w14:paraId="5294C4F4" w14:textId="77777777" w:rsidR="002E193D" w:rsidRDefault="002E193D">
      <w:pPr>
        <w:widowControl w:val="0"/>
        <w:ind w:right="-30"/>
        <w:jc w:val="center"/>
        <w:rPr>
          <w:rFonts w:ascii="Calibri" w:eastAsia="Calibri" w:hAnsi="Calibri" w:cs="Calibri"/>
          <w:sz w:val="20"/>
          <w:szCs w:val="20"/>
        </w:rPr>
      </w:pPr>
    </w:p>
    <w:p w14:paraId="3054B46F" w14:textId="77777777" w:rsidR="002E193D" w:rsidRDefault="002E193D">
      <w:pPr>
        <w:widowControl w:val="0"/>
        <w:ind w:right="-30"/>
        <w:jc w:val="center"/>
        <w:rPr>
          <w:rFonts w:ascii="Calibri" w:eastAsia="Calibri" w:hAnsi="Calibri" w:cs="Calibri"/>
          <w:sz w:val="20"/>
          <w:szCs w:val="20"/>
        </w:rPr>
      </w:pPr>
    </w:p>
    <w:p w14:paraId="3C9AE077"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Local e data</w:t>
      </w:r>
    </w:p>
    <w:p w14:paraId="1CA1FC6A" w14:textId="77777777" w:rsidR="002E193D" w:rsidRDefault="002E193D">
      <w:pPr>
        <w:widowControl w:val="0"/>
        <w:ind w:right="-30"/>
        <w:jc w:val="center"/>
        <w:rPr>
          <w:rFonts w:ascii="Calibri" w:eastAsia="Calibri" w:hAnsi="Calibri" w:cs="Calibri"/>
          <w:sz w:val="20"/>
          <w:szCs w:val="20"/>
        </w:rPr>
      </w:pPr>
    </w:p>
    <w:p w14:paraId="0D5D376B" w14:textId="77777777" w:rsidR="002E193D" w:rsidRDefault="00000000">
      <w:pPr>
        <w:widowControl w:val="0"/>
        <w:ind w:right="-30"/>
        <w:jc w:val="center"/>
        <w:rPr>
          <w:rFonts w:ascii="Calibri" w:eastAsia="Calibri" w:hAnsi="Calibri" w:cs="Calibri"/>
          <w:sz w:val="20"/>
          <w:szCs w:val="20"/>
        </w:rPr>
      </w:pPr>
      <w:r>
        <w:rPr>
          <w:rFonts w:ascii="Calibri" w:eastAsia="Calibri" w:hAnsi="Calibri" w:cs="Calibri"/>
          <w:sz w:val="20"/>
          <w:szCs w:val="20"/>
        </w:rPr>
        <w:t>Assinaturas</w:t>
      </w:r>
    </w:p>
    <w:p w14:paraId="4C23AD3B" w14:textId="77777777" w:rsidR="002E193D" w:rsidRDefault="002E193D">
      <w:pPr>
        <w:widowControl w:val="0"/>
        <w:ind w:right="-30"/>
        <w:jc w:val="center"/>
        <w:rPr>
          <w:rFonts w:ascii="Calibri" w:eastAsia="Calibri" w:hAnsi="Calibri" w:cs="Calibri"/>
          <w:sz w:val="20"/>
          <w:szCs w:val="20"/>
        </w:rPr>
      </w:pPr>
    </w:p>
    <w:p w14:paraId="0FB99477" w14:textId="77777777" w:rsidR="002E193D" w:rsidRDefault="00000000">
      <w:pPr>
        <w:widowControl w:val="0"/>
        <w:ind w:right="-30"/>
        <w:jc w:val="center"/>
        <w:rPr>
          <w:rFonts w:ascii="Calibri" w:eastAsia="Calibri" w:hAnsi="Calibri" w:cs="Calibri"/>
          <w:color w:val="000000"/>
          <w:sz w:val="20"/>
          <w:szCs w:val="20"/>
        </w:rPr>
      </w:pPr>
      <w:r>
        <w:rPr>
          <w:rFonts w:ascii="Calibri" w:eastAsia="Calibri" w:hAnsi="Calibri" w:cs="Calibri"/>
          <w:sz w:val="20"/>
          <w:szCs w:val="20"/>
        </w:rPr>
        <w:t xml:space="preserve">Representante legal do órgão gerenciador e representante(s) legal(is) do(s) </w:t>
      </w:r>
      <w:r>
        <w:rPr>
          <w:rFonts w:ascii="Calibri" w:eastAsia="Calibri" w:hAnsi="Calibri" w:cs="Calibri"/>
          <w:color w:val="000000"/>
          <w:sz w:val="20"/>
          <w:szCs w:val="20"/>
        </w:rPr>
        <w:t>fornecedor(s) registrado(s)</w:t>
      </w:r>
    </w:p>
    <w:sectPr w:rsidR="002E193D">
      <w:headerReference w:type="default" r:id="rId8"/>
      <w:footerReference w:type="default" r:id="rId9"/>
      <w:pgSz w:w="11906" w:h="16838"/>
      <w:pgMar w:top="1418" w:right="1134" w:bottom="1418"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D0DB64E" w14:textId="77777777" w:rsidR="00A64F72" w:rsidRDefault="00A64F72">
      <w:r>
        <w:separator/>
      </w:r>
    </w:p>
  </w:endnote>
  <w:endnote w:type="continuationSeparator" w:id="0">
    <w:p w14:paraId="39B0E7AF" w14:textId="77777777" w:rsidR="00A64F72" w:rsidRDefault="00A64F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Ecofont_Spranq_eco_Sans">
    <w:altName w:val="Calibri"/>
    <w:charset w:val="00"/>
    <w:family w:val="auto"/>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DA2085" w14:textId="77777777" w:rsidR="002E193D"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_______________________________________________________________________________________________________________________________________</w:t>
    </w:r>
  </w:p>
  <w:p w14:paraId="411E78B7" w14:textId="77777777" w:rsidR="002E193D"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Universidade Federal do Recôncavo da Bahia – Coordenadoria de Licitação e Compras</w:t>
    </w:r>
  </w:p>
  <w:p w14:paraId="4909DB9F" w14:textId="77777777" w:rsidR="002E193D"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Rua Rui Barbosa, 710, Bloco I, Campus Universitário, Bairro Centro, Cruz das Almas – BA Cep: 44.380-000</w:t>
    </w:r>
  </w:p>
  <w:p w14:paraId="1A3B461F" w14:textId="77777777" w:rsidR="002E193D" w:rsidRDefault="00000000">
    <w:pPr>
      <w:pBdr>
        <w:top w:val="nil"/>
        <w:left w:val="nil"/>
        <w:bottom w:val="nil"/>
        <w:right w:val="nil"/>
        <w:between w:val="nil"/>
      </w:pBdr>
      <w:tabs>
        <w:tab w:val="center" w:pos="4252"/>
        <w:tab w:val="right" w:pos="8504"/>
      </w:tabs>
      <w:rPr>
        <w:rFonts w:cs="Ecofont_Spranq_eco_Sans"/>
        <w:color w:val="000000"/>
        <w:sz w:val="12"/>
        <w:szCs w:val="12"/>
      </w:rPr>
    </w:pPr>
    <w:r>
      <w:rPr>
        <w:rFonts w:cs="Ecofont_Spranq_eco_Sans"/>
        <w:color w:val="000000"/>
        <w:sz w:val="12"/>
        <w:szCs w:val="12"/>
      </w:rPr>
      <w:t xml:space="preserve">Telefax: (75) 3621.6466 / 3621.6208 | E-mail: </w:t>
    </w:r>
    <w:hyperlink r:id="rId1">
      <w:r>
        <w:rPr>
          <w:rFonts w:cs="Ecofont_Spranq_eco_Sans"/>
          <w:color w:val="0000FF"/>
          <w:sz w:val="12"/>
          <w:szCs w:val="12"/>
          <w:u w:val="single"/>
        </w:rPr>
        <w:t>proad.ccl.nuglic@ufrb.edu.br</w:t>
      </w:r>
    </w:hyperlink>
    <w:r>
      <w:rPr>
        <w:rFonts w:cs="Ecofont_Spranq_eco_Sans"/>
        <w:color w:val="000000"/>
        <w:sz w:val="12"/>
        <w:szCs w:val="12"/>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58075D" w14:textId="77777777" w:rsidR="00A64F72" w:rsidRDefault="00A64F72">
      <w:r>
        <w:separator/>
      </w:r>
    </w:p>
  </w:footnote>
  <w:footnote w:type="continuationSeparator" w:id="0">
    <w:p w14:paraId="181C3F14" w14:textId="77777777" w:rsidR="00A64F72" w:rsidRDefault="00A64F7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170983" w14:textId="77777777" w:rsidR="002E193D" w:rsidRDefault="00000000">
    <w:pPr>
      <w:pBdr>
        <w:top w:val="nil"/>
        <w:left w:val="nil"/>
        <w:bottom w:val="nil"/>
        <w:right w:val="nil"/>
        <w:between w:val="nil"/>
      </w:pBdr>
      <w:tabs>
        <w:tab w:val="center" w:pos="4252"/>
        <w:tab w:val="right" w:pos="8504"/>
      </w:tabs>
      <w:jc w:val="center"/>
      <w:rPr>
        <w:rFonts w:cs="Ecofont_Spranq_eco_Sans"/>
        <w:color w:val="000000"/>
      </w:rPr>
    </w:pPr>
    <w:r>
      <w:rPr>
        <w:rFonts w:cs="Ecofont_Spranq_eco_Sans"/>
        <w:noProof/>
        <w:color w:val="000000"/>
      </w:rPr>
      <w:drawing>
        <wp:inline distT="0" distB="0" distL="0" distR="0" wp14:anchorId="6E77845B" wp14:editId="7A1D9649">
          <wp:extent cx="908050" cy="598805"/>
          <wp:effectExtent l="0" t="0" r="0" b="0"/>
          <wp:docPr id="2" name="image1.jpg" descr="marca-vertical-UFRB-cabeçalho"/>
          <wp:cNvGraphicFramePr/>
          <a:graphic xmlns:a="http://schemas.openxmlformats.org/drawingml/2006/main">
            <a:graphicData uri="http://schemas.openxmlformats.org/drawingml/2006/picture">
              <pic:pic xmlns:pic="http://schemas.openxmlformats.org/drawingml/2006/picture">
                <pic:nvPicPr>
                  <pic:cNvPr id="0" name="image1.jpg" descr="marca-vertical-UFRB-cabeçalho"/>
                  <pic:cNvPicPr preferRelativeResize="0"/>
                </pic:nvPicPr>
                <pic:blipFill>
                  <a:blip r:embed="rId1"/>
                  <a:srcRect/>
                  <a:stretch>
                    <a:fillRect/>
                  </a:stretch>
                </pic:blipFill>
                <pic:spPr>
                  <a:xfrm>
                    <a:off x="0" y="0"/>
                    <a:ext cx="908050" cy="598805"/>
                  </a:xfrm>
                  <a:prstGeom prst="rect">
                    <a:avLst/>
                  </a:prstGeom>
                  <a:ln/>
                </pic:spPr>
              </pic:pic>
            </a:graphicData>
          </a:graphic>
        </wp:inline>
      </w:drawing>
    </w:r>
  </w:p>
  <w:p w14:paraId="64D4BC61" w14:textId="77777777" w:rsidR="002E193D" w:rsidRDefault="002E193D">
    <w:pPr>
      <w:pBdr>
        <w:top w:val="nil"/>
        <w:left w:val="nil"/>
        <w:bottom w:val="nil"/>
        <w:right w:val="nil"/>
        <w:between w:val="nil"/>
      </w:pBdr>
      <w:tabs>
        <w:tab w:val="center" w:pos="4252"/>
        <w:tab w:val="right" w:pos="8504"/>
      </w:tabs>
      <w:jc w:val="center"/>
      <w:rPr>
        <w:rFonts w:cs="Ecofont_Spranq_eco_Sans"/>
        <w:color w:val="000000"/>
      </w:rPr>
    </w:pPr>
  </w:p>
  <w:p w14:paraId="504BD49E" w14:textId="77777777" w:rsidR="002E193D" w:rsidRDefault="00000000">
    <w:pPr>
      <w:pBdr>
        <w:top w:val="nil"/>
        <w:left w:val="nil"/>
        <w:bottom w:val="nil"/>
        <w:right w:val="nil"/>
        <w:between w:val="nil"/>
      </w:pBdr>
      <w:tabs>
        <w:tab w:val="center" w:pos="4252"/>
        <w:tab w:val="right" w:pos="8504"/>
      </w:tabs>
      <w:jc w:val="center"/>
      <w:rPr>
        <w:rFonts w:ascii="Arial" w:eastAsia="Arial" w:hAnsi="Arial" w:cs="Arial"/>
        <w:b/>
        <w:color w:val="808080"/>
        <w:sz w:val="22"/>
        <w:szCs w:val="22"/>
      </w:rPr>
    </w:pPr>
    <w:r>
      <w:rPr>
        <w:rFonts w:ascii="Arial" w:eastAsia="Arial" w:hAnsi="Arial" w:cs="Arial"/>
        <w:b/>
        <w:color w:val="808080"/>
        <w:sz w:val="22"/>
        <w:szCs w:val="22"/>
      </w:rPr>
      <w:t>MINISTÉRIO DA EDUCAÇÃO</w:t>
    </w:r>
  </w:p>
  <w:p w14:paraId="08288326" w14:textId="77777777" w:rsidR="002E193D" w:rsidRDefault="00000000">
    <w:pPr>
      <w:pBdr>
        <w:top w:val="nil"/>
        <w:left w:val="nil"/>
        <w:bottom w:val="nil"/>
        <w:right w:val="nil"/>
        <w:between w:val="nil"/>
      </w:pBdr>
      <w:tabs>
        <w:tab w:val="center" w:pos="4252"/>
        <w:tab w:val="right" w:pos="8504"/>
      </w:tabs>
      <w:jc w:val="center"/>
      <w:rPr>
        <w:rFonts w:ascii="Arial" w:eastAsia="Arial" w:hAnsi="Arial" w:cs="Arial"/>
        <w:b/>
        <w:color w:val="808080"/>
      </w:rPr>
    </w:pPr>
    <w:r>
      <w:rPr>
        <w:rFonts w:ascii="Arial" w:eastAsia="Arial" w:hAnsi="Arial" w:cs="Arial"/>
        <w:b/>
        <w:color w:val="808080"/>
        <w:sz w:val="22"/>
        <w:szCs w:val="22"/>
      </w:rPr>
      <w:t>UNIVERSIDADE FEDERAL DO RECÔNCAVO DA BAHIA</w:t>
    </w:r>
  </w:p>
  <w:p w14:paraId="153C02CD" w14:textId="77777777" w:rsidR="002E193D" w:rsidRDefault="00000000">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r>
      <w:rPr>
        <w:rFonts w:ascii="Arial" w:eastAsia="Arial" w:hAnsi="Arial" w:cs="Arial"/>
        <w:b/>
        <w:color w:val="808080"/>
        <w:sz w:val="18"/>
        <w:szCs w:val="18"/>
      </w:rPr>
      <w:t>PRÓ-REITORIA DE ADMINISTRAÇÃO</w:t>
    </w:r>
  </w:p>
  <w:p w14:paraId="3A443C94" w14:textId="77777777" w:rsidR="002E193D" w:rsidRDefault="00000000">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r>
      <w:rPr>
        <w:rFonts w:ascii="Arial" w:eastAsia="Arial" w:hAnsi="Arial" w:cs="Arial"/>
        <w:b/>
        <w:color w:val="808080"/>
        <w:sz w:val="18"/>
        <w:szCs w:val="18"/>
      </w:rPr>
      <w:t>COORDENADORIA DE LICITAÇÃO E COMPRAS</w:t>
    </w:r>
  </w:p>
  <w:p w14:paraId="66D4C5E4" w14:textId="77777777" w:rsidR="002E193D" w:rsidRDefault="002E193D">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p>
  <w:p w14:paraId="0BB8AAA7" w14:textId="77777777" w:rsidR="002E193D" w:rsidRDefault="002E193D">
    <w:pPr>
      <w:pBdr>
        <w:top w:val="nil"/>
        <w:left w:val="nil"/>
        <w:bottom w:val="nil"/>
        <w:right w:val="nil"/>
        <w:between w:val="nil"/>
      </w:pBdr>
      <w:tabs>
        <w:tab w:val="center" w:pos="4252"/>
        <w:tab w:val="right" w:pos="8504"/>
      </w:tabs>
      <w:jc w:val="center"/>
      <w:rPr>
        <w:rFonts w:ascii="Arial" w:eastAsia="Arial" w:hAnsi="Arial" w:cs="Arial"/>
        <w:b/>
        <w:color w:val="808080"/>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0D21CE2"/>
    <w:multiLevelType w:val="multilevel"/>
    <w:tmpl w:val="9D62645C"/>
    <w:lvl w:ilvl="0">
      <w:start w:val="1"/>
      <w:numFmt w:val="decimal"/>
      <w:lvlText w:val="%1."/>
      <w:lvlJc w:val="left"/>
      <w:pPr>
        <w:ind w:left="360" w:hanging="360"/>
      </w:pPr>
      <w:rPr>
        <w:b/>
        <w:color w:val="000000"/>
      </w:rPr>
    </w:lvl>
    <w:lvl w:ilvl="1">
      <w:start w:val="1"/>
      <w:numFmt w:val="decimal"/>
      <w:lvlText w:val="%1.%2."/>
      <w:lvlJc w:val="left"/>
      <w:pPr>
        <w:ind w:left="1283" w:hanging="431"/>
      </w:pPr>
      <w:rPr>
        <w:i w:val="0"/>
        <w:sz w:val="20"/>
        <w:szCs w:val="20"/>
      </w:rPr>
    </w:lvl>
    <w:lvl w:ilvl="2">
      <w:start w:val="1"/>
      <w:numFmt w:val="decimal"/>
      <w:lvlText w:val="%1.%2.%3."/>
      <w:lvlJc w:val="left"/>
      <w:pPr>
        <w:ind w:left="1497" w:hanging="504"/>
      </w:pPr>
      <w:rPr>
        <w:i w:val="0"/>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1509582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E193D"/>
    <w:rsid w:val="002E193D"/>
    <w:rsid w:val="00A64F72"/>
    <w:rsid w:val="00DD5ED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02C26B8"/>
  <w15:docId w15:val="{227A92C0-2368-4DAD-BB22-49188AD13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Ecofont_Spranq_eco_Sans" w:eastAsia="Ecofont_Spranq_eco_Sans" w:hAnsi="Ecofont_Spranq_eco_Sans" w:cs="Ecofont_Spranq_eco_Sans"/>
        <w:sz w:val="24"/>
        <w:szCs w:val="24"/>
        <w:lang w:val="pt-BR" w:eastAsia="pt-BR"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46FC"/>
    <w:rPr>
      <w:rFonts w:cs="Tahoma"/>
    </w:rPr>
  </w:style>
  <w:style w:type="paragraph" w:styleId="Ttulo1">
    <w:name w:val="heading 1"/>
    <w:basedOn w:val="Normal"/>
    <w:next w:val="Normal"/>
    <w:link w:val="Ttulo1Char"/>
    <w:uiPriority w:val="9"/>
    <w:qFormat/>
    <w:rsid w:val="006362AE"/>
    <w:pPr>
      <w:keepNext/>
      <w:keepLines/>
      <w:spacing w:before="480"/>
      <w:outlineLvl w:val="0"/>
    </w:pPr>
    <w:rPr>
      <w:rFonts w:ascii="Cambria" w:hAnsi="Cambria" w:cs="Times New Roman"/>
      <w:b/>
      <w:bCs/>
      <w:color w:val="365F91"/>
      <w:sz w:val="28"/>
      <w:szCs w:val="28"/>
    </w:rPr>
  </w:style>
  <w:style w:type="paragraph" w:styleId="Ttulo2">
    <w:name w:val="heading 2"/>
    <w:basedOn w:val="Normal"/>
    <w:next w:val="Normal"/>
    <w:uiPriority w:val="9"/>
    <w:semiHidden/>
    <w:unhideWhenUsed/>
    <w:qFormat/>
    <w:pPr>
      <w:keepNext/>
      <w:keepLines/>
      <w:spacing w:before="360" w:after="80"/>
      <w:outlineLvl w:val="1"/>
    </w:pPr>
    <w:rPr>
      <w:b/>
      <w:sz w:val="36"/>
      <w:szCs w:val="36"/>
    </w:rPr>
  </w:style>
  <w:style w:type="paragraph" w:styleId="Ttulo3">
    <w:name w:val="heading 3"/>
    <w:basedOn w:val="Normal"/>
    <w:next w:val="Normal"/>
    <w:uiPriority w:val="9"/>
    <w:semiHidden/>
    <w:unhideWhenUsed/>
    <w:qFormat/>
    <w:pPr>
      <w:keepNext/>
      <w:keepLines/>
      <w:spacing w:before="280" w:after="80"/>
      <w:outlineLvl w:val="2"/>
    </w:pPr>
    <w:rPr>
      <w:b/>
      <w:sz w:val="28"/>
      <w:szCs w:val="28"/>
    </w:rPr>
  </w:style>
  <w:style w:type="paragraph" w:styleId="Ttulo4">
    <w:name w:val="heading 4"/>
    <w:basedOn w:val="Normal"/>
    <w:next w:val="Normal"/>
    <w:uiPriority w:val="9"/>
    <w:semiHidden/>
    <w:unhideWhenUsed/>
    <w:qFormat/>
    <w:pPr>
      <w:keepNext/>
      <w:keepLines/>
      <w:spacing w:before="240" w:after="40"/>
      <w:outlineLvl w:val="3"/>
    </w:pPr>
    <w:rPr>
      <w:b/>
    </w:rPr>
  </w:style>
  <w:style w:type="paragraph" w:styleId="Ttulo5">
    <w:name w:val="heading 5"/>
    <w:basedOn w:val="Normal"/>
    <w:next w:val="Normal"/>
    <w:uiPriority w:val="9"/>
    <w:semiHidden/>
    <w:unhideWhenUsed/>
    <w:qFormat/>
    <w:pPr>
      <w:keepNext/>
      <w:keepLines/>
      <w:spacing w:before="220" w:after="40"/>
      <w:outlineLvl w:val="4"/>
    </w:pPr>
    <w:rPr>
      <w:b/>
      <w:sz w:val="22"/>
      <w:szCs w:val="22"/>
    </w:rPr>
  </w:style>
  <w:style w:type="paragraph" w:styleId="Ttulo6">
    <w:name w:val="heading 6"/>
    <w:basedOn w:val="Normal"/>
    <w:next w:val="Normal"/>
    <w:uiPriority w:val="9"/>
    <w:semiHidden/>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uiPriority w:val="10"/>
    <w:qFormat/>
    <w:pPr>
      <w:keepNext/>
      <w:keepLines/>
      <w:spacing w:before="480" w:after="120"/>
    </w:pPr>
    <w:rPr>
      <w:b/>
      <w:sz w:val="72"/>
      <w:szCs w:val="72"/>
    </w:rPr>
  </w:style>
  <w:style w:type="character" w:customStyle="1" w:styleId="Ttulo1Char">
    <w:name w:val="Título 1 Char"/>
    <w:link w:val="Ttulo1"/>
    <w:uiPriority w:val="99"/>
    <w:locked/>
    <w:rsid w:val="006362AE"/>
    <w:rPr>
      <w:rFonts w:ascii="Cambria" w:hAnsi="Cambria" w:cs="Times New Roman"/>
      <w:b/>
      <w:bCs/>
      <w:color w:val="365F91"/>
      <w:sz w:val="28"/>
      <w:szCs w:val="28"/>
    </w:rPr>
  </w:style>
  <w:style w:type="paragraph" w:customStyle="1" w:styleId="GradeColorida-nfase11">
    <w:name w:val="Grade Colorida - Ênfase 11"/>
    <w:basedOn w:val="Normal"/>
    <w:next w:val="Normal"/>
    <w:link w:val="GradeColorida-nfase1Char"/>
    <w:uiPriority w:val="99"/>
    <w:rsid w:val="00CB46FC"/>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cs="Times New Roman"/>
      <w:i/>
      <w:color w:val="000000"/>
      <w:szCs w:val="20"/>
      <w:lang w:eastAsia="en-US"/>
    </w:rPr>
  </w:style>
  <w:style w:type="character" w:customStyle="1" w:styleId="GradeColorida-nfase1Char">
    <w:name w:val="Grade Colorida - Ênfase 1 Char"/>
    <w:link w:val="GradeColorida-nfase11"/>
    <w:uiPriority w:val="99"/>
    <w:locked/>
    <w:rsid w:val="00CB46FC"/>
    <w:rPr>
      <w:rFonts w:ascii="Ecofont_Spranq_eco_Sans" w:eastAsia="Times New Roman" w:hAnsi="Ecofont_Spranq_eco_Sans"/>
      <w:i/>
      <w:color w:val="000000"/>
      <w:sz w:val="24"/>
      <w:lang w:val="pt-BR" w:eastAsia="en-US"/>
    </w:rPr>
  </w:style>
  <w:style w:type="paragraph" w:styleId="Corpodetexto">
    <w:name w:val="Body Text"/>
    <w:basedOn w:val="Normal"/>
    <w:link w:val="CorpodetextoChar"/>
    <w:uiPriority w:val="99"/>
    <w:rsid w:val="002F4C05"/>
    <w:pPr>
      <w:spacing w:before="100" w:beforeAutospacing="1" w:after="100" w:afterAutospacing="1"/>
    </w:pPr>
    <w:rPr>
      <w:rFonts w:ascii="Times New Roman" w:hAnsi="Times New Roman" w:cs="Times New Roman"/>
      <w:szCs w:val="20"/>
    </w:rPr>
  </w:style>
  <w:style w:type="character" w:customStyle="1" w:styleId="CorpodetextoChar">
    <w:name w:val="Corpo de texto Char"/>
    <w:link w:val="Corpodetexto"/>
    <w:uiPriority w:val="99"/>
    <w:locked/>
    <w:rsid w:val="002F4C05"/>
    <w:rPr>
      <w:sz w:val="24"/>
    </w:rPr>
  </w:style>
  <w:style w:type="character" w:styleId="Hyperlink">
    <w:name w:val="Hyperlink"/>
    <w:uiPriority w:val="99"/>
    <w:rsid w:val="00520E7A"/>
    <w:rPr>
      <w:rFonts w:cs="Times New Roman"/>
      <w:color w:val="0000FF"/>
      <w:u w:val="single"/>
    </w:rPr>
  </w:style>
  <w:style w:type="paragraph" w:styleId="PargrafodaLista">
    <w:name w:val="List Paragraph"/>
    <w:basedOn w:val="Normal"/>
    <w:uiPriority w:val="99"/>
    <w:qFormat/>
    <w:rsid w:val="003F48DF"/>
    <w:pPr>
      <w:ind w:left="720"/>
      <w:contextualSpacing/>
    </w:pPr>
  </w:style>
  <w:style w:type="paragraph" w:styleId="Cabealho">
    <w:name w:val="header"/>
    <w:basedOn w:val="Normal"/>
    <w:link w:val="CabealhoChar"/>
    <w:uiPriority w:val="99"/>
    <w:rsid w:val="00BB5309"/>
    <w:pPr>
      <w:tabs>
        <w:tab w:val="center" w:pos="4252"/>
        <w:tab w:val="right" w:pos="8504"/>
      </w:tabs>
    </w:pPr>
    <w:rPr>
      <w:rFonts w:cs="Times New Roman"/>
    </w:rPr>
  </w:style>
  <w:style w:type="character" w:customStyle="1" w:styleId="CabealhoChar">
    <w:name w:val="Cabeçalho Char"/>
    <w:link w:val="Cabealho"/>
    <w:uiPriority w:val="99"/>
    <w:locked/>
    <w:rsid w:val="00BB5309"/>
    <w:rPr>
      <w:rFonts w:ascii="Ecofont_Spranq_eco_Sans" w:hAnsi="Ecofont_Spranq_eco_Sans" w:cs="Tahoma"/>
      <w:sz w:val="24"/>
      <w:szCs w:val="24"/>
    </w:rPr>
  </w:style>
  <w:style w:type="paragraph" w:styleId="Rodap">
    <w:name w:val="footer"/>
    <w:basedOn w:val="Normal"/>
    <w:link w:val="RodapChar"/>
    <w:uiPriority w:val="99"/>
    <w:rsid w:val="00BB5309"/>
    <w:pPr>
      <w:tabs>
        <w:tab w:val="center" w:pos="4252"/>
        <w:tab w:val="right" w:pos="8504"/>
      </w:tabs>
    </w:pPr>
    <w:rPr>
      <w:rFonts w:cs="Times New Roman"/>
    </w:rPr>
  </w:style>
  <w:style w:type="character" w:customStyle="1" w:styleId="RodapChar">
    <w:name w:val="Rodapé Char"/>
    <w:link w:val="Rodap"/>
    <w:uiPriority w:val="99"/>
    <w:locked/>
    <w:rsid w:val="00BB5309"/>
    <w:rPr>
      <w:rFonts w:ascii="Ecofont_Spranq_eco_Sans" w:hAnsi="Ecofont_Spranq_eco_Sans" w:cs="Tahoma"/>
      <w:sz w:val="24"/>
      <w:szCs w:val="24"/>
    </w:rPr>
  </w:style>
  <w:style w:type="paragraph" w:customStyle="1" w:styleId="citao2">
    <w:name w:val="citação 2"/>
    <w:basedOn w:val="Citao"/>
    <w:link w:val="citao2Char"/>
    <w:uiPriority w:val="99"/>
    <w:rsid w:val="002038C8"/>
    <w:pPr>
      <w:pBdr>
        <w:top w:val="single" w:sz="4" w:space="1" w:color="1F497D"/>
        <w:left w:val="single" w:sz="4" w:space="4" w:color="1F497D"/>
        <w:bottom w:val="single" w:sz="4" w:space="1" w:color="1F497D"/>
        <w:right w:val="single" w:sz="4" w:space="4" w:color="1F497D"/>
      </w:pBdr>
      <w:shd w:val="clear" w:color="auto" w:fill="FFFFCC"/>
      <w:spacing w:before="120"/>
      <w:jc w:val="both"/>
    </w:pPr>
    <w:rPr>
      <w:lang w:eastAsia="en-US"/>
    </w:rPr>
  </w:style>
  <w:style w:type="character" w:customStyle="1" w:styleId="citao2Char">
    <w:name w:val="citação 2 Char"/>
    <w:link w:val="citao2"/>
    <w:uiPriority w:val="99"/>
    <w:locked/>
    <w:rsid w:val="002038C8"/>
    <w:rPr>
      <w:rFonts w:ascii="Ecofont_Spranq_eco_Sans" w:eastAsia="Times New Roman" w:hAnsi="Ecofont_Spranq_eco_Sans" w:cs="Tahoma"/>
      <w:i/>
      <w:iCs/>
      <w:color w:val="000000"/>
      <w:sz w:val="24"/>
      <w:szCs w:val="24"/>
      <w:shd w:val="clear" w:color="auto" w:fill="FFFFCC"/>
      <w:lang w:eastAsia="en-US"/>
    </w:rPr>
  </w:style>
  <w:style w:type="paragraph" w:styleId="Citao">
    <w:name w:val="Quote"/>
    <w:basedOn w:val="Normal"/>
    <w:next w:val="Normal"/>
    <w:link w:val="CitaoChar"/>
    <w:uiPriority w:val="99"/>
    <w:qFormat/>
    <w:rsid w:val="002038C8"/>
    <w:rPr>
      <w:rFonts w:cs="Times New Roman"/>
      <w:i/>
      <w:iCs/>
      <w:color w:val="000000"/>
    </w:rPr>
  </w:style>
  <w:style w:type="character" w:customStyle="1" w:styleId="CitaoChar">
    <w:name w:val="Citação Char"/>
    <w:link w:val="Citao"/>
    <w:uiPriority w:val="99"/>
    <w:locked/>
    <w:rsid w:val="002038C8"/>
    <w:rPr>
      <w:rFonts w:ascii="Ecofont_Spranq_eco_Sans" w:hAnsi="Ecofont_Spranq_eco_Sans" w:cs="Tahoma"/>
      <w:i/>
      <w:iCs/>
      <w:color w:val="000000"/>
      <w:sz w:val="24"/>
      <w:szCs w:val="24"/>
    </w:rPr>
  </w:style>
  <w:style w:type="paragraph" w:customStyle="1" w:styleId="Nivel1">
    <w:name w:val="Nivel1"/>
    <w:basedOn w:val="Ttulo1"/>
    <w:next w:val="Normal"/>
    <w:link w:val="Nivel1Char"/>
    <w:uiPriority w:val="99"/>
    <w:rsid w:val="006362AE"/>
    <w:pPr>
      <w:widowControl w:val="0"/>
      <w:autoSpaceDE w:val="0"/>
      <w:autoSpaceDN w:val="0"/>
      <w:adjustRightInd w:val="0"/>
      <w:spacing w:after="120" w:line="276" w:lineRule="auto"/>
      <w:ind w:left="360" w:hanging="360"/>
      <w:jc w:val="both"/>
    </w:pPr>
    <w:rPr>
      <w:rFonts w:ascii="Arial" w:hAnsi="Arial"/>
    </w:rPr>
  </w:style>
  <w:style w:type="character" w:customStyle="1" w:styleId="Nivel1Char">
    <w:name w:val="Nivel1 Char"/>
    <w:link w:val="Nivel1"/>
    <w:uiPriority w:val="99"/>
    <w:locked/>
    <w:rsid w:val="006362AE"/>
    <w:rPr>
      <w:rFonts w:ascii="Arial" w:hAnsi="Arial" w:cs="Arial"/>
      <w:b/>
      <w:bCs/>
      <w:color w:val="365F91"/>
      <w:sz w:val="28"/>
      <w:szCs w:val="28"/>
    </w:rPr>
  </w:style>
  <w:style w:type="paragraph" w:styleId="Subttulo">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0" w:type="dxa"/>
        <w:left w:w="10" w:type="dxa"/>
        <w:bottom w:w="0" w:type="dxa"/>
        <w:right w:w="1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hyperlink" Target="mailto:proad.ccl.nuglic@ufrb.edu.b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Jqh4rxpeSQP6gPwumXcVO1xGClA==">AMUW2mUzTV3BLNmufUUb3oztN3tNSRTzpLu5izw5E1t+HY7hqNomVF1e9CB5eqsoJs/moyPukFQ7CfrsBTqBuqwO6e6OL4h6rO0ZmJbcx/51fXSfpKnLB68PvJs4u0fy2oV2RGNDEIvJ</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5</Pages>
  <Words>1568</Words>
  <Characters>8468</Characters>
  <Application>Microsoft Office Word</Application>
  <DocSecurity>0</DocSecurity>
  <Lines>70</Lines>
  <Paragraphs>20</Paragraphs>
  <ScaleCrop>false</ScaleCrop>
  <Company/>
  <LinksUpToDate>false</LinksUpToDate>
  <CharactersWithSpaces>10016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CONJUR-MP</dc:creator>
  <cp:lastModifiedBy>Jorge Conceição de Almeida</cp:lastModifiedBy>
  <cp:revision>2</cp:revision>
  <cp:lastPrinted>2023-04-19T19:29:00Z</cp:lastPrinted>
  <dcterms:created xsi:type="dcterms:W3CDTF">2023-03-14T16:51:00Z</dcterms:created>
  <dcterms:modified xsi:type="dcterms:W3CDTF">2023-04-19T19:29:00Z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0x01010012A2765E7DFD38469B2E626874CD0041</vt:lpwstr>
  </property>
  <property fmtid="{D5CDD505-2E9C-101B-9397-08002B2CF9AE}" pid="3" name="AuthorIds_UIVersion_2048">
    <vt:lpwstr>44</vt:lpwstr>
  </property>
</Properties>
</file>